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47F1" w14:textId="0FB56AE8" w:rsidR="00456E65" w:rsidRPr="00456E65" w:rsidRDefault="00456E65" w:rsidP="00456E65">
      <w:pPr>
        <w:pStyle w:val="Heading6"/>
        <w:spacing w:line="168" w:lineRule="auto"/>
        <w:ind w:firstLine="0"/>
        <w:jc w:val="center"/>
        <w:rPr>
          <w:rFonts w:cs="SKR HEAD1"/>
          <w:color w:val="auto"/>
          <w:sz w:val="72"/>
          <w:szCs w:val="72"/>
          <w:rtl/>
          <w:lang w:bidi="ar-EG"/>
        </w:rPr>
      </w:pPr>
    </w:p>
    <w:p w14:paraId="1B63051F" w14:textId="53F6E752" w:rsidR="00F06D6C" w:rsidRPr="00456E65" w:rsidRDefault="0046333C" w:rsidP="00456E65">
      <w:pPr>
        <w:pStyle w:val="Heading6"/>
        <w:spacing w:line="168" w:lineRule="auto"/>
        <w:ind w:firstLine="0"/>
        <w:jc w:val="center"/>
        <w:rPr>
          <w:rFonts w:cs="SKR HEAD1"/>
          <w:color w:val="auto"/>
          <w:sz w:val="72"/>
          <w:szCs w:val="72"/>
          <w:rtl/>
          <w:lang w:bidi="ar-EG"/>
        </w:rPr>
      </w:pPr>
      <w:r>
        <w:rPr>
          <w:rFonts w:cs="SKR HEAD1" w:hint="cs"/>
          <w:color w:val="auto"/>
          <w:sz w:val="72"/>
          <w:szCs w:val="72"/>
          <w:rtl/>
          <w:lang w:bidi="ar-EG"/>
        </w:rPr>
        <w:t>الوقـــف على النفـــس</w:t>
      </w:r>
    </w:p>
    <w:p w14:paraId="4A0AECC9" w14:textId="38677D7F" w:rsidR="00F06D6C" w:rsidRPr="00456E65" w:rsidRDefault="00F06D6C" w:rsidP="00456E65">
      <w:pPr>
        <w:pStyle w:val="Heading6"/>
        <w:spacing w:line="168" w:lineRule="auto"/>
        <w:ind w:firstLine="0"/>
        <w:jc w:val="center"/>
        <w:rPr>
          <w:rFonts w:cs="SKR HEAD1"/>
          <w:color w:val="auto"/>
          <w:sz w:val="72"/>
          <w:szCs w:val="72"/>
          <w:rtl/>
          <w:lang w:bidi="ar-EG"/>
        </w:rPr>
      </w:pPr>
      <w:r w:rsidRPr="00456E65">
        <w:rPr>
          <w:rFonts w:cs="SKR HEAD1" w:hint="cs"/>
          <w:color w:val="auto"/>
          <w:sz w:val="72"/>
          <w:szCs w:val="72"/>
          <w:rtl/>
          <w:lang w:bidi="ar-EG"/>
        </w:rPr>
        <w:t>في</w:t>
      </w:r>
      <w:r w:rsidR="0046333C">
        <w:rPr>
          <w:rFonts w:cs="SKR HEAD1" w:hint="cs"/>
          <w:color w:val="auto"/>
          <w:sz w:val="72"/>
          <w:szCs w:val="72"/>
          <w:rtl/>
          <w:lang w:bidi="ar-EG"/>
        </w:rPr>
        <w:t xml:space="preserve"> الفقــه الإسلامــــي</w:t>
      </w:r>
    </w:p>
    <w:p w14:paraId="48DF7B65" w14:textId="77777777" w:rsidR="0046333C" w:rsidRDefault="0046333C" w:rsidP="00456E65">
      <w:pPr>
        <w:pStyle w:val="Heading6"/>
        <w:spacing w:line="240" w:lineRule="auto"/>
        <w:ind w:firstLine="0"/>
        <w:jc w:val="center"/>
        <w:rPr>
          <w:rFonts w:cs="SKR HEAD1"/>
          <w:color w:val="auto"/>
          <w:sz w:val="48"/>
          <w:szCs w:val="48"/>
          <w:rtl/>
          <w:lang w:bidi="ar-EG"/>
        </w:rPr>
      </w:pPr>
    </w:p>
    <w:p w14:paraId="6357E984" w14:textId="0E98796A" w:rsidR="00F06D6C" w:rsidRPr="0046333C" w:rsidRDefault="0046333C" w:rsidP="00456E65">
      <w:pPr>
        <w:pStyle w:val="Heading6"/>
        <w:spacing w:line="240" w:lineRule="auto"/>
        <w:ind w:firstLine="0"/>
        <w:jc w:val="center"/>
        <w:rPr>
          <w:rFonts w:cs="Mohammad Bold Normal"/>
          <w:color w:val="auto"/>
          <w:sz w:val="72"/>
          <w:szCs w:val="72"/>
          <w:rtl/>
          <w:lang w:bidi="ar-EG"/>
        </w:rPr>
      </w:pPr>
      <w:r>
        <w:rPr>
          <w:rFonts w:cs="Mohammad Bold Normal"/>
          <w:color w:val="auto"/>
          <w:sz w:val="32"/>
          <w:szCs w:val="32"/>
          <w:lang w:bidi="ar-EG"/>
        </w:rPr>
        <w:t>“</w:t>
      </w:r>
      <w:r w:rsidRPr="0046333C">
        <w:rPr>
          <w:rFonts w:cs="Mohammad Bold Normal" w:hint="cs"/>
          <w:color w:val="auto"/>
          <w:sz w:val="32"/>
          <w:szCs w:val="32"/>
          <w:rtl/>
          <w:lang w:bidi="ar-EG"/>
        </w:rPr>
        <w:t>دراسة تأصيلية تحليلية</w:t>
      </w:r>
      <w:r>
        <w:rPr>
          <w:rFonts w:cs="Mohammad Bold Normal"/>
          <w:color w:val="auto"/>
          <w:sz w:val="32"/>
          <w:szCs w:val="32"/>
          <w:lang w:bidi="ar-EG"/>
        </w:rPr>
        <w:t>”</w:t>
      </w:r>
    </w:p>
    <w:p w14:paraId="0C40DA74" w14:textId="77777777" w:rsidR="00F06D6C" w:rsidRDefault="00F06D6C" w:rsidP="00F06D6C">
      <w:pPr>
        <w:pStyle w:val="Heading6"/>
        <w:spacing w:line="240" w:lineRule="auto"/>
        <w:ind w:firstLine="0"/>
        <w:jc w:val="center"/>
        <w:rPr>
          <w:color w:val="auto"/>
          <w:sz w:val="40"/>
          <w:szCs w:val="40"/>
          <w:lang w:bidi="ar-EG"/>
        </w:rPr>
      </w:pPr>
    </w:p>
    <w:p w14:paraId="387E0F80" w14:textId="77777777" w:rsidR="00456E65" w:rsidRPr="00456E65" w:rsidRDefault="00456E65" w:rsidP="00456E65">
      <w:pPr>
        <w:rPr>
          <w:rtl/>
          <w:lang w:bidi="ar-EG"/>
        </w:rPr>
      </w:pPr>
    </w:p>
    <w:p w14:paraId="107DBC0D" w14:textId="36E40565" w:rsidR="00F06D6C" w:rsidRPr="00456E65" w:rsidRDefault="0046333C" w:rsidP="00F06D6C">
      <w:pPr>
        <w:pStyle w:val="Heading6"/>
        <w:spacing w:line="240" w:lineRule="auto"/>
        <w:ind w:firstLine="0"/>
        <w:jc w:val="center"/>
        <w:rPr>
          <w:rFonts w:cs="SKR HEAD1"/>
          <w:color w:val="auto"/>
          <w:sz w:val="48"/>
          <w:szCs w:val="48"/>
          <w:rtl/>
          <w:lang w:bidi="ar-EG"/>
        </w:rPr>
      </w:pPr>
      <w:r>
        <w:rPr>
          <w:rFonts w:cs="SKR HEAD1" w:hint="cs"/>
          <w:color w:val="auto"/>
          <w:sz w:val="48"/>
          <w:szCs w:val="48"/>
          <w:rtl/>
          <w:lang w:bidi="ar-EG"/>
        </w:rPr>
        <w:t>من إعــــداد</w:t>
      </w:r>
    </w:p>
    <w:p w14:paraId="24CB58E5" w14:textId="68C2FEFB" w:rsidR="00F06D6C" w:rsidRPr="00456E65" w:rsidRDefault="00F06D6C" w:rsidP="00F06D6C">
      <w:pPr>
        <w:pStyle w:val="Heading6"/>
        <w:spacing w:line="240" w:lineRule="auto"/>
        <w:ind w:firstLine="0"/>
        <w:jc w:val="center"/>
        <w:rPr>
          <w:rFonts w:cs="Mohammad Bold Normal"/>
          <w:color w:val="auto"/>
          <w:sz w:val="38"/>
          <w:szCs w:val="38"/>
          <w:rtl/>
          <w:lang w:bidi="ar-EG"/>
        </w:rPr>
      </w:pPr>
      <w:r w:rsidRPr="00456E65">
        <w:rPr>
          <w:rFonts w:cs="Mohammad Bold Normal" w:hint="cs"/>
          <w:color w:val="auto"/>
          <w:sz w:val="38"/>
          <w:szCs w:val="38"/>
          <w:rtl/>
          <w:lang w:bidi="ar-EG"/>
        </w:rPr>
        <w:t>أ.د</w:t>
      </w:r>
      <w:r w:rsidR="00E46798">
        <w:rPr>
          <w:rFonts w:cs="Mohammad Bold Normal" w:hint="cs"/>
          <w:color w:val="auto"/>
          <w:sz w:val="38"/>
          <w:szCs w:val="38"/>
          <w:rtl/>
          <w:lang w:bidi="ar-EG"/>
        </w:rPr>
        <w:t>/</w:t>
      </w:r>
      <w:r w:rsidRPr="00456E65">
        <w:rPr>
          <w:rFonts w:cs="Mohammad Bold Normal" w:hint="cs"/>
          <w:color w:val="auto"/>
          <w:sz w:val="38"/>
          <w:szCs w:val="38"/>
          <w:rtl/>
          <w:lang w:bidi="ar-EG"/>
        </w:rPr>
        <w:t>عطيه</w:t>
      </w:r>
      <w:r w:rsidR="002E02B5" w:rsidRPr="002E02B5">
        <w:rPr>
          <w:rFonts w:cs="Mohammad Bold Normal" w:hint="cs"/>
          <w:color w:val="auto"/>
          <w:rtl/>
          <w:lang w:bidi="ar-EG"/>
        </w:rPr>
        <w:t xml:space="preserve"> </w:t>
      </w:r>
      <w:r w:rsidRPr="00456E65">
        <w:rPr>
          <w:rFonts w:cs="Mohammad Bold Normal" w:hint="cs"/>
          <w:color w:val="auto"/>
          <w:sz w:val="38"/>
          <w:szCs w:val="38"/>
          <w:rtl/>
          <w:lang w:bidi="ar-EG"/>
        </w:rPr>
        <w:t>عبد</w:t>
      </w:r>
      <w:r w:rsidR="002E02B5" w:rsidRPr="002E02B5">
        <w:rPr>
          <w:rFonts w:cs="Mohammad Bold Normal" w:hint="cs"/>
          <w:color w:val="auto"/>
          <w:rtl/>
          <w:lang w:bidi="ar-EG"/>
        </w:rPr>
        <w:t xml:space="preserve"> </w:t>
      </w:r>
      <w:r w:rsidRPr="00456E65">
        <w:rPr>
          <w:rFonts w:cs="Mohammad Bold Normal" w:hint="cs"/>
          <w:color w:val="auto"/>
          <w:sz w:val="38"/>
          <w:szCs w:val="38"/>
          <w:rtl/>
          <w:lang w:bidi="ar-EG"/>
        </w:rPr>
        <w:t>الحليم</w:t>
      </w:r>
      <w:r w:rsidR="002E02B5" w:rsidRPr="002E02B5">
        <w:rPr>
          <w:rFonts w:cs="Mohammad Bold Normal" w:hint="cs"/>
          <w:color w:val="auto"/>
          <w:rtl/>
          <w:lang w:bidi="ar-EG"/>
        </w:rPr>
        <w:t xml:space="preserve"> </w:t>
      </w:r>
      <w:r w:rsidRPr="00456E65">
        <w:rPr>
          <w:rFonts w:cs="Mohammad Bold Normal" w:hint="cs"/>
          <w:color w:val="auto"/>
          <w:sz w:val="38"/>
          <w:szCs w:val="38"/>
          <w:rtl/>
          <w:lang w:bidi="ar-EG"/>
        </w:rPr>
        <w:t>صقر</w:t>
      </w:r>
    </w:p>
    <w:p w14:paraId="4AFA953D" w14:textId="77777777" w:rsidR="00F06D6C" w:rsidRDefault="00F06D6C" w:rsidP="00F06D6C">
      <w:pPr>
        <w:pStyle w:val="Heading6"/>
        <w:spacing w:line="240" w:lineRule="auto"/>
        <w:ind w:firstLine="0"/>
        <w:jc w:val="center"/>
        <w:rPr>
          <w:color w:val="auto"/>
          <w:sz w:val="40"/>
          <w:szCs w:val="40"/>
          <w:lang w:bidi="ar-EG"/>
        </w:rPr>
      </w:pPr>
    </w:p>
    <w:p w14:paraId="53305354" w14:textId="77777777" w:rsidR="00456E65" w:rsidRPr="00456E65" w:rsidRDefault="00456E65" w:rsidP="00456E65">
      <w:pPr>
        <w:rPr>
          <w:rtl/>
          <w:lang w:bidi="ar-EG"/>
        </w:rPr>
      </w:pPr>
    </w:p>
    <w:p w14:paraId="40B76693" w14:textId="6A18B130" w:rsidR="00F06D6C" w:rsidRPr="00456E65" w:rsidRDefault="00F06D6C" w:rsidP="00456E65">
      <w:pPr>
        <w:pStyle w:val="Heading6"/>
        <w:tabs>
          <w:tab w:val="right" w:pos="6292"/>
        </w:tabs>
        <w:spacing w:line="240" w:lineRule="auto"/>
        <w:ind w:firstLine="0"/>
        <w:jc w:val="center"/>
        <w:rPr>
          <w:rFonts w:ascii="Cambria" w:hAnsi="Cambria" w:cs="ArbHasoob Bold"/>
          <w:color w:val="auto"/>
          <w:sz w:val="36"/>
          <w:szCs w:val="36"/>
          <w:lang w:bidi="ar-EG"/>
        </w:rPr>
      </w:pPr>
      <w:r w:rsidRPr="00456E65">
        <w:rPr>
          <w:rFonts w:cs="ArbHasoob Bold" w:hint="cs"/>
          <w:color w:val="auto"/>
          <w:sz w:val="36"/>
          <w:szCs w:val="36"/>
          <w:rtl/>
          <w:lang w:bidi="ar-EG"/>
        </w:rPr>
        <w:t>الموقع</w:t>
      </w:r>
      <w:r w:rsidR="002E02B5" w:rsidRPr="002E02B5">
        <w:rPr>
          <w:rFonts w:cs="ArbHasoob Bold" w:hint="cs"/>
          <w:color w:val="auto"/>
          <w:rtl/>
          <w:lang w:bidi="ar-EG"/>
        </w:rPr>
        <w:t xml:space="preserve"> </w:t>
      </w:r>
      <w:r w:rsidRPr="00456E65">
        <w:rPr>
          <w:rFonts w:cs="ArbHasoob Bold" w:hint="cs"/>
          <w:color w:val="auto"/>
          <w:sz w:val="36"/>
          <w:szCs w:val="36"/>
          <w:rtl/>
          <w:lang w:bidi="ar-EG"/>
        </w:rPr>
        <w:t>الإلكتروني</w:t>
      </w:r>
      <w:r w:rsidR="00456E65" w:rsidRPr="00456E65">
        <w:rPr>
          <w:rFonts w:cs="ArbHasoob Bold"/>
          <w:color w:val="auto"/>
          <w:sz w:val="36"/>
          <w:szCs w:val="36"/>
          <w:lang w:bidi="ar-EG"/>
        </w:rPr>
        <w:tab/>
      </w:r>
      <w:hyperlink r:id="rId8" w:history="1">
        <w:r w:rsidRPr="00456E65">
          <w:rPr>
            <w:rStyle w:val="Hyperlink"/>
            <w:rFonts w:ascii="Cambria" w:hAnsi="Cambria" w:cs="ArbHasoob Bold"/>
            <w:color w:val="auto"/>
            <w:sz w:val="36"/>
            <w:szCs w:val="36"/>
            <w:u w:val="none"/>
            <w:lang w:bidi="ar-EG"/>
          </w:rPr>
          <w:t>www.profattiakr.net</w:t>
        </w:r>
      </w:hyperlink>
    </w:p>
    <w:p w14:paraId="487E88C2" w14:textId="0807C8CC" w:rsidR="00F06D6C" w:rsidRDefault="00F06D6C" w:rsidP="00456E65">
      <w:pPr>
        <w:pStyle w:val="Heading6"/>
        <w:tabs>
          <w:tab w:val="right" w:pos="6292"/>
        </w:tabs>
        <w:spacing w:line="240" w:lineRule="auto"/>
        <w:ind w:firstLine="0"/>
        <w:jc w:val="center"/>
        <w:rPr>
          <w:rStyle w:val="Hyperlink"/>
          <w:rFonts w:ascii="Cambria" w:hAnsi="Cambria" w:cs="ArbHasoob Bold"/>
          <w:sz w:val="36"/>
          <w:szCs w:val="36"/>
          <w:lang w:bidi="ar-EG"/>
        </w:rPr>
      </w:pPr>
      <w:r w:rsidRPr="00456E65">
        <w:rPr>
          <w:rFonts w:ascii="Cambria" w:hAnsi="Cambria" w:cs="ArbHasoob Bold" w:hint="cs"/>
          <w:color w:val="auto"/>
          <w:sz w:val="36"/>
          <w:szCs w:val="36"/>
          <w:rtl/>
          <w:lang w:bidi="ar-EG"/>
        </w:rPr>
        <w:t>البريد</w:t>
      </w:r>
      <w:r w:rsidR="002E02B5" w:rsidRPr="002E02B5">
        <w:rPr>
          <w:rFonts w:ascii="Cambria" w:hAnsi="Cambria" w:cs="ArbHasoob Bold" w:hint="cs"/>
          <w:color w:val="auto"/>
          <w:rtl/>
          <w:lang w:bidi="ar-EG"/>
        </w:rPr>
        <w:t xml:space="preserve"> </w:t>
      </w:r>
      <w:r w:rsidRPr="00456E65">
        <w:rPr>
          <w:rFonts w:ascii="Cambria" w:hAnsi="Cambria" w:cs="ArbHasoob Bold" w:hint="cs"/>
          <w:color w:val="auto"/>
          <w:sz w:val="36"/>
          <w:szCs w:val="36"/>
          <w:rtl/>
          <w:lang w:bidi="ar-EG"/>
        </w:rPr>
        <w:t>الإلكتروني</w:t>
      </w:r>
      <w:r w:rsidR="00456E65" w:rsidRPr="00456E65">
        <w:rPr>
          <w:rFonts w:ascii="Cambria" w:hAnsi="Cambria" w:cs="ArbHasoob Bold"/>
          <w:color w:val="auto"/>
          <w:sz w:val="36"/>
          <w:szCs w:val="36"/>
          <w:lang w:bidi="ar-EG"/>
        </w:rPr>
        <w:tab/>
      </w:r>
      <w:hyperlink r:id="rId9" w:history="1">
        <w:r w:rsidR="00620817" w:rsidRPr="004B7DDB">
          <w:rPr>
            <w:rStyle w:val="Hyperlink"/>
            <w:rFonts w:ascii="Cambria" w:hAnsi="Cambria" w:cs="ArbHasoob Bold"/>
            <w:sz w:val="36"/>
            <w:szCs w:val="36"/>
            <w:lang w:bidi="ar-EG"/>
          </w:rPr>
          <w:t>m_attia_sakr@yah</w:t>
        </w:r>
        <w:r w:rsidR="00620817" w:rsidRPr="004B7DDB">
          <w:rPr>
            <w:rStyle w:val="Hyperlink"/>
            <w:rFonts w:ascii="Cambria" w:hAnsi="Cambria" w:cs="ArbHasoob Bold"/>
            <w:sz w:val="36"/>
            <w:szCs w:val="36"/>
          </w:rPr>
          <w:t>o</w:t>
        </w:r>
        <w:r w:rsidR="00620817" w:rsidRPr="004B7DDB">
          <w:rPr>
            <w:rStyle w:val="Hyperlink"/>
            <w:rFonts w:ascii="Cambria" w:hAnsi="Cambria" w:cs="ArbHasoob Bold"/>
            <w:sz w:val="36"/>
            <w:szCs w:val="36"/>
            <w:lang w:bidi="ar-EG"/>
          </w:rPr>
          <w:t>o.com</w:t>
        </w:r>
      </w:hyperlink>
    </w:p>
    <w:p w14:paraId="71769A5B" w14:textId="72DB47B0" w:rsidR="0046333C" w:rsidRDefault="0046333C" w:rsidP="0046333C">
      <w:pPr>
        <w:pStyle w:val="Heading6"/>
        <w:tabs>
          <w:tab w:val="right" w:pos="6292"/>
        </w:tabs>
        <w:spacing w:line="240" w:lineRule="auto"/>
        <w:ind w:firstLine="0"/>
        <w:jc w:val="center"/>
        <w:rPr>
          <w:rFonts w:ascii="Cambria" w:hAnsi="Cambria" w:cs="ArbHasoob Bold"/>
          <w:color w:val="auto"/>
          <w:sz w:val="36"/>
          <w:szCs w:val="36"/>
          <w:rtl/>
          <w:lang w:bidi="ar-EG"/>
        </w:rPr>
      </w:pPr>
      <w:r w:rsidRPr="0046333C">
        <w:rPr>
          <w:rFonts w:ascii="Cambria" w:hAnsi="Cambria" w:cs="ArbHasoob Bold" w:hint="cs"/>
          <w:color w:val="auto"/>
          <w:sz w:val="36"/>
          <w:szCs w:val="36"/>
          <w:rtl/>
          <w:lang w:bidi="ar-EG"/>
        </w:rPr>
        <w:t>ت</w:t>
      </w:r>
      <w:r>
        <w:rPr>
          <w:rFonts w:ascii="Cambria" w:hAnsi="Cambria" w:cs="ArbHasoob Bold" w:hint="cs"/>
          <w:color w:val="auto"/>
          <w:sz w:val="36"/>
          <w:szCs w:val="36"/>
          <w:rtl/>
          <w:lang w:bidi="ar-EG"/>
        </w:rPr>
        <w:t xml:space="preserve"> منزل:</w:t>
      </w:r>
      <w:r>
        <w:rPr>
          <w:rFonts w:ascii="Cambria" w:hAnsi="Cambria" w:cs="ArbHasoob Bold"/>
          <w:color w:val="auto"/>
          <w:sz w:val="36"/>
          <w:szCs w:val="36"/>
          <w:rtl/>
          <w:lang w:bidi="ar-EG"/>
        </w:rPr>
        <w:tab/>
      </w:r>
      <w:r>
        <w:rPr>
          <w:rFonts w:ascii="Cambria" w:hAnsi="Cambria" w:cs="ArbHasoob Bold" w:hint="cs"/>
          <w:color w:val="auto"/>
          <w:sz w:val="36"/>
          <w:szCs w:val="36"/>
          <w:rtl/>
          <w:lang w:bidi="ar-EG"/>
        </w:rPr>
        <w:t xml:space="preserve">25381752 </w:t>
      </w:r>
      <w:r>
        <w:rPr>
          <w:rFonts w:ascii="Cambria" w:hAnsi="Cambria" w:cs="ArbHasoob Bold"/>
          <w:color w:val="auto"/>
          <w:sz w:val="36"/>
          <w:szCs w:val="36"/>
          <w:rtl/>
          <w:lang w:bidi="ar-EG"/>
        </w:rPr>
        <w:t>–</w:t>
      </w:r>
      <w:r>
        <w:rPr>
          <w:rFonts w:ascii="Cambria" w:hAnsi="Cambria" w:cs="ArbHasoob Bold" w:hint="cs"/>
          <w:color w:val="auto"/>
          <w:sz w:val="36"/>
          <w:szCs w:val="36"/>
          <w:rtl/>
          <w:lang w:bidi="ar-EG"/>
        </w:rPr>
        <w:t xml:space="preserve"> 002</w:t>
      </w:r>
    </w:p>
    <w:p w14:paraId="7118E9C7" w14:textId="51CCDF00" w:rsidR="0046333C" w:rsidRPr="0046333C" w:rsidRDefault="0046333C" w:rsidP="0046333C">
      <w:pPr>
        <w:pStyle w:val="Heading6"/>
        <w:tabs>
          <w:tab w:val="right" w:pos="6292"/>
        </w:tabs>
        <w:spacing w:line="240" w:lineRule="auto"/>
        <w:ind w:firstLine="0"/>
        <w:jc w:val="center"/>
        <w:rPr>
          <w:rFonts w:ascii="Cambria" w:hAnsi="Cambria" w:cs="ArbHasoob Bold"/>
          <w:color w:val="auto"/>
          <w:sz w:val="36"/>
          <w:szCs w:val="36"/>
          <w:rtl/>
          <w:lang w:bidi="ar-EG"/>
        </w:rPr>
      </w:pPr>
      <w:r>
        <w:rPr>
          <w:rFonts w:ascii="Cambria" w:hAnsi="Cambria" w:cs="ArbHasoob Bold" w:hint="cs"/>
          <w:color w:val="auto"/>
          <w:sz w:val="36"/>
          <w:szCs w:val="36"/>
          <w:rtl/>
          <w:lang w:bidi="ar-EG"/>
        </w:rPr>
        <w:t>محمول:</w:t>
      </w:r>
      <w:r>
        <w:rPr>
          <w:rFonts w:ascii="Cambria" w:hAnsi="Cambria" w:cs="ArbHasoob Bold"/>
          <w:color w:val="auto"/>
          <w:sz w:val="36"/>
          <w:szCs w:val="36"/>
          <w:rtl/>
          <w:lang w:bidi="ar-EG"/>
        </w:rPr>
        <w:tab/>
      </w:r>
      <w:r>
        <w:rPr>
          <w:rFonts w:ascii="Cambria" w:hAnsi="Cambria" w:cs="ArbHasoob Bold" w:hint="cs"/>
          <w:color w:val="auto"/>
          <w:sz w:val="36"/>
          <w:szCs w:val="36"/>
          <w:rtl/>
          <w:lang w:bidi="ar-EG"/>
        </w:rPr>
        <w:t xml:space="preserve">01220457162 </w:t>
      </w:r>
    </w:p>
    <w:p w14:paraId="31D47CD7" w14:textId="2F035F2B" w:rsidR="00456E65" w:rsidRDefault="00456E65">
      <w:pPr>
        <w:spacing w:before="0" w:after="120" w:line="240" w:lineRule="auto"/>
        <w:ind w:firstLine="0"/>
        <w:jc w:val="left"/>
        <w:rPr>
          <w:rtl/>
          <w:lang w:bidi="ar-EG"/>
        </w:rPr>
      </w:pPr>
      <w:r>
        <w:rPr>
          <w:rtl/>
          <w:lang w:bidi="ar-EG"/>
        </w:rPr>
        <w:br w:type="page"/>
      </w:r>
    </w:p>
    <w:p w14:paraId="457626D4" w14:textId="32E2FD03" w:rsidR="00B457C0" w:rsidRPr="00B457C0" w:rsidRDefault="00B457C0" w:rsidP="00B457C0">
      <w:pPr>
        <w:spacing w:line="288" w:lineRule="auto"/>
        <w:ind w:firstLine="0"/>
        <w:jc w:val="center"/>
        <w:rPr>
          <w:rFonts w:ascii="Simplified Arabic" w:eastAsia="Calibri" w:hAnsi="Simplified Arabic" w:cs="PT Bold Heading"/>
          <w:sz w:val="36"/>
          <w:szCs w:val="36"/>
          <w:rtl/>
        </w:rPr>
      </w:pPr>
      <w:r w:rsidRPr="00B457C0">
        <w:rPr>
          <w:rFonts w:ascii="Simplified Arabic" w:eastAsia="Calibri" w:hAnsi="Simplified Arabic" w:cs="PT Bold Heading" w:hint="cs"/>
          <w:sz w:val="36"/>
          <w:szCs w:val="36"/>
          <w:rtl/>
        </w:rPr>
        <w:lastRenderedPageBreak/>
        <w:t>مقدمة في تعريف الوقف وأنواعه ومقاصده الشرعية</w:t>
      </w:r>
    </w:p>
    <w:p w14:paraId="60BC7BD7" w14:textId="77777777" w:rsidR="00B457C0" w:rsidRPr="00B457C0" w:rsidRDefault="00B457C0" w:rsidP="00B457C0">
      <w:pPr>
        <w:ind w:firstLine="0"/>
        <w:jc w:val="both"/>
        <w:rPr>
          <w:rFonts w:eastAsia="Calibri"/>
          <w:rtl/>
        </w:rPr>
      </w:pPr>
      <w:r w:rsidRPr="00B457C0">
        <w:rPr>
          <w:rFonts w:eastAsia="Calibri"/>
          <w:rtl/>
        </w:rPr>
        <w:t xml:space="preserve">الوقف في معناه ومضمونه الحقيقي هو: أصول مالية رأسمالية منتجة لمنتجات مادية أو خدمية صالحة لانتفاع الموقوف عليه بها، يتنازل عنها الواقف بمحض إرادته المنفردة، ويعزلها عن كل تصرفاته الناقلة لملكية رقبتها أو منافعها بصفة نهائية أو مؤقتة، ويعتبرها صدقة جارية لوجه الله سبحانه وتعالى على مستحقين معيّنين أو غير معينين أو صدقة مخصّصة على جهات نفع عام تعليمية أو صحية أو غيرها. </w:t>
      </w:r>
    </w:p>
    <w:p w14:paraId="39E7C55E" w14:textId="77777777" w:rsidR="00B457C0" w:rsidRPr="00B457C0" w:rsidRDefault="00B457C0" w:rsidP="00B457C0">
      <w:pPr>
        <w:ind w:firstLine="0"/>
        <w:jc w:val="both"/>
        <w:rPr>
          <w:rFonts w:eastAsia="Calibri"/>
          <w:rtl/>
        </w:rPr>
      </w:pPr>
      <w:r w:rsidRPr="00B457C0">
        <w:rPr>
          <w:rFonts w:eastAsia="Calibri"/>
          <w:rtl/>
        </w:rPr>
        <w:t xml:space="preserve">أو هو: أصول عينية رأسمالية نقدية أو عقارية صالحة للاستغلال أو للاستثمار فيما تصلح له يرصدها مالكها بمحض إرادته المنفردة، لانتفاع الموقوف عليه </w:t>
      </w:r>
      <w:r w:rsidRPr="00B457C0">
        <w:rPr>
          <w:rFonts w:eastAsia="Calibri"/>
          <w:highlight w:val="yellow"/>
          <w:rtl/>
        </w:rPr>
        <w:t>؟؟؟؟؟؟</w:t>
      </w:r>
      <w:r w:rsidRPr="00B457C0">
        <w:rPr>
          <w:rFonts w:eastAsia="Calibri"/>
          <w:rtl/>
        </w:rPr>
        <w:t xml:space="preserve"> انتفاعًا مؤبدًا أو مؤقتًا، لاتباع ولا تورث ولا توهب مدة بقاء عينها أو بدلها إن استبدلت. </w:t>
      </w:r>
    </w:p>
    <w:p w14:paraId="0B8B6DF6" w14:textId="77777777" w:rsidR="00B457C0" w:rsidRPr="00B457C0" w:rsidRDefault="00B457C0" w:rsidP="00B457C0">
      <w:pPr>
        <w:ind w:firstLine="0"/>
        <w:jc w:val="both"/>
        <w:rPr>
          <w:rFonts w:eastAsia="Calibri"/>
          <w:rtl/>
        </w:rPr>
      </w:pPr>
      <w:r w:rsidRPr="00B457C0">
        <w:rPr>
          <w:rFonts w:eastAsia="Calibri"/>
          <w:rtl/>
        </w:rPr>
        <w:t xml:space="preserve">ويتنوع الوقف إلى أنواع كثيرة من أهمها: الوقف الخيري وهو ما كانت منافع أعيانه مرصودة على جهات نفع عام، والوقف الذّري: وهو ما كانت منافع أعيانه قاصرة على ذريّة الواقف دون غيرهم، والوقف المشترك وهو ما كانت منافع أعيانه خاصة بطبقة أو طبقتين من ذرية الواقف ثم تنتقل بعدها إلى جهات النفع العام، الوقف المؤبد وهو ما خرجت أصوله وأعيانه نهائيًا عن ملكية الواقف، الوقف المؤقت وهو ما تنازل الواقف عن منافع أعيانه للموقوف عليه لمدة محددة مع بقاء أصوله وأعيانه على ملكية الواقف، وقف الأصول والمنافع وهو ما تنازل الواقف عن ملكية أصوله وعن حقه في الانتفاع بأصوله مع بقاء الأصول في ملكية الواقف، الوقف على النفس وهو ما اختص الواقف نفسه في الانتفاع بأصوله وأعيانه مدة مقائه حيّا، بحيث لا تدخل هذه الأصول في نطاق ملكيته إلا بعد موته. </w:t>
      </w:r>
    </w:p>
    <w:p w14:paraId="7F061C6D" w14:textId="77777777" w:rsidR="00B457C0" w:rsidRPr="00B457C0" w:rsidRDefault="00B457C0" w:rsidP="00B457C0">
      <w:pPr>
        <w:ind w:firstLine="0"/>
        <w:jc w:val="both"/>
        <w:rPr>
          <w:rFonts w:ascii="Simplified Arabic" w:eastAsia="Calibri" w:hAnsi="Simplified Arabic" w:cs="SKR HEAD1"/>
          <w:sz w:val="32"/>
          <w:szCs w:val="32"/>
          <w:rtl/>
        </w:rPr>
      </w:pPr>
      <w:r w:rsidRPr="00B457C0">
        <w:rPr>
          <w:rFonts w:ascii="Simplified Arabic" w:eastAsia="Calibri" w:hAnsi="Simplified Arabic" w:cs="SKR HEAD1" w:hint="cs"/>
          <w:sz w:val="32"/>
          <w:szCs w:val="32"/>
          <w:rtl/>
        </w:rPr>
        <w:t xml:space="preserve">وللوقف مقاصد شرعية من أهمها: </w:t>
      </w:r>
    </w:p>
    <w:p w14:paraId="287D8C4B" w14:textId="77777777" w:rsidR="00B457C0" w:rsidRPr="00B457C0" w:rsidRDefault="00B457C0" w:rsidP="00B457C0">
      <w:pPr>
        <w:numPr>
          <w:ilvl w:val="0"/>
          <w:numId w:val="38"/>
        </w:numPr>
        <w:ind w:left="567" w:hanging="567"/>
        <w:contextualSpacing/>
        <w:jc w:val="both"/>
        <w:rPr>
          <w:rFonts w:eastAsia="Calibri"/>
        </w:rPr>
      </w:pPr>
      <w:r w:rsidRPr="00B457C0">
        <w:rPr>
          <w:rFonts w:eastAsia="Calibri"/>
          <w:rtl/>
        </w:rPr>
        <w:t xml:space="preserve">المقصد العام للوقف هو أنه عمل من أعمال البر والخير والإحسان إلى النفس أو إلى الذرية أو إلى جهات النفع العام، يفعله الواقف رجاء الثواب من الله عزوجل. </w:t>
      </w:r>
    </w:p>
    <w:p w14:paraId="737BD51C" w14:textId="77777777" w:rsidR="00B457C0" w:rsidRPr="00B457C0" w:rsidRDefault="00B457C0" w:rsidP="00B457C0">
      <w:pPr>
        <w:numPr>
          <w:ilvl w:val="0"/>
          <w:numId w:val="38"/>
        </w:numPr>
        <w:ind w:left="567" w:hanging="567"/>
        <w:contextualSpacing/>
        <w:jc w:val="both"/>
        <w:rPr>
          <w:rFonts w:eastAsia="Calibri"/>
        </w:rPr>
      </w:pPr>
      <w:r w:rsidRPr="00B457C0">
        <w:rPr>
          <w:rFonts w:eastAsia="Calibri"/>
          <w:rtl/>
        </w:rPr>
        <w:lastRenderedPageBreak/>
        <w:t xml:space="preserve">والمقصد الخاص للوقف هو منع التصرف في أصول الوقف وأعيانه بالبيع أو بالهبة أو بالميراث، وخروج أعيانه عن ملكية الواقف إلى حكم ملك الله تعالى. </w:t>
      </w:r>
    </w:p>
    <w:p w14:paraId="70AB9864" w14:textId="77777777" w:rsidR="00B457C0" w:rsidRPr="00B457C0" w:rsidRDefault="00B457C0" w:rsidP="00B457C0">
      <w:pPr>
        <w:numPr>
          <w:ilvl w:val="0"/>
          <w:numId w:val="38"/>
        </w:numPr>
        <w:ind w:left="567" w:hanging="567"/>
        <w:contextualSpacing/>
        <w:jc w:val="both"/>
        <w:rPr>
          <w:rFonts w:eastAsia="Calibri"/>
        </w:rPr>
      </w:pPr>
      <w:r w:rsidRPr="00B457C0">
        <w:rPr>
          <w:rFonts w:eastAsia="Calibri"/>
          <w:rtl/>
        </w:rPr>
        <w:t xml:space="preserve">والمقصد الاجتماعي للوقف هو رعاية أصحاب الحاجات من الأفراد. </w:t>
      </w:r>
    </w:p>
    <w:p w14:paraId="02023309" w14:textId="77777777" w:rsidR="00B457C0" w:rsidRPr="00B457C0" w:rsidRDefault="00B457C0" w:rsidP="00B457C0">
      <w:pPr>
        <w:numPr>
          <w:ilvl w:val="0"/>
          <w:numId w:val="38"/>
        </w:numPr>
        <w:ind w:left="567" w:hanging="567"/>
        <w:contextualSpacing/>
        <w:jc w:val="both"/>
        <w:rPr>
          <w:rFonts w:eastAsia="Calibri"/>
        </w:rPr>
      </w:pPr>
      <w:r w:rsidRPr="00B457C0">
        <w:rPr>
          <w:rFonts w:eastAsia="Calibri"/>
          <w:rtl/>
        </w:rPr>
        <w:t xml:space="preserve">والمقصد الاقتصادي من الوقف هو تمويل نشاط المؤسسات والهيئات والجمعيات ذات النفع العام، ودعم نشاطها وضمان استمراريتها في تقديم منا معها العامة والخاصة الصحية والتعليمية والدعوية والبيئية والدفاعية. </w:t>
      </w:r>
    </w:p>
    <w:p w14:paraId="296C99BE" w14:textId="77777777" w:rsidR="00B457C0" w:rsidRPr="00B457C0" w:rsidRDefault="00B457C0" w:rsidP="00B457C0">
      <w:pPr>
        <w:numPr>
          <w:ilvl w:val="0"/>
          <w:numId w:val="38"/>
        </w:numPr>
        <w:ind w:left="567" w:hanging="567"/>
        <w:contextualSpacing/>
        <w:jc w:val="both"/>
        <w:rPr>
          <w:rFonts w:eastAsia="Calibri"/>
        </w:rPr>
      </w:pPr>
      <w:r w:rsidRPr="00B457C0">
        <w:rPr>
          <w:rFonts w:eastAsia="Calibri"/>
          <w:rtl/>
        </w:rPr>
        <w:t xml:space="preserve">وأما المقصد الخاص للوقف على النفس فهو: الحفاظ على الكرامة الإنسانية حال الحياة، ومنع مذلة أعزاء أقوامهم. </w:t>
      </w:r>
    </w:p>
    <w:p w14:paraId="4652CDB7" w14:textId="77777777" w:rsidR="00B457C0" w:rsidRPr="00B457C0" w:rsidRDefault="00B457C0" w:rsidP="00B457C0">
      <w:pPr>
        <w:ind w:firstLine="0"/>
        <w:jc w:val="both"/>
        <w:rPr>
          <w:rFonts w:eastAsia="Calibri" w:cs="SKR HEAD1"/>
          <w:sz w:val="32"/>
          <w:szCs w:val="32"/>
          <w:rtl/>
        </w:rPr>
      </w:pPr>
      <w:r w:rsidRPr="00B457C0">
        <w:rPr>
          <w:rFonts w:eastAsia="Calibri" w:cs="SKR HEAD1"/>
          <w:sz w:val="32"/>
          <w:szCs w:val="32"/>
          <w:rtl/>
        </w:rPr>
        <w:t xml:space="preserve">حدود الدراسة: </w:t>
      </w:r>
    </w:p>
    <w:p w14:paraId="71AABF18" w14:textId="77777777" w:rsidR="00B457C0" w:rsidRPr="00B457C0" w:rsidRDefault="00B457C0" w:rsidP="00B457C0">
      <w:pPr>
        <w:ind w:firstLine="0"/>
        <w:jc w:val="both"/>
        <w:rPr>
          <w:rFonts w:eastAsia="Calibri"/>
          <w:rtl/>
        </w:rPr>
      </w:pPr>
      <w:r w:rsidRPr="00B457C0">
        <w:rPr>
          <w:rFonts w:eastAsia="Calibri"/>
          <w:rtl/>
        </w:rPr>
        <w:t xml:space="preserve">سوف تقتصر هذه الدراسة على تناول الوقف على النفس من حيث التعريف به ومذاهب العلماء في جوازه ومنعه والرأي الراجح للدراسة فيه، وأدلة جوازه وصحته، وما انتهت إليه الدراسة في استثناء منافع المال الموقوف لصالح الواقف وفي جواز استحقاق الواقف من ريع الوقف إذا شمله وصف الموقوف عليه. </w:t>
      </w:r>
    </w:p>
    <w:p w14:paraId="622D4D58" w14:textId="77777777" w:rsidR="00B457C0" w:rsidRDefault="00B457C0" w:rsidP="00B457C0">
      <w:pPr>
        <w:ind w:firstLine="0"/>
        <w:jc w:val="center"/>
        <w:rPr>
          <w:rFonts w:ascii="(A) Arslan Wessam B" w:eastAsia="Calibri" w:hAnsi="(A) Arslan Wessam B" w:cs="(A) Arslan Wessam B"/>
          <w:b/>
          <w:bCs/>
          <w:rtl/>
        </w:rPr>
      </w:pPr>
    </w:p>
    <w:p w14:paraId="4FF65C1B" w14:textId="77777777" w:rsidR="00B457C0" w:rsidRDefault="00B457C0" w:rsidP="00B457C0">
      <w:pPr>
        <w:ind w:firstLine="0"/>
        <w:jc w:val="center"/>
        <w:rPr>
          <w:rFonts w:ascii="(A) Arslan Wessam B" w:eastAsia="Calibri" w:hAnsi="(A) Arslan Wessam B" w:cs="(A) Arslan Wessam B"/>
          <w:b/>
          <w:bCs/>
          <w:rtl/>
        </w:rPr>
      </w:pPr>
    </w:p>
    <w:p w14:paraId="6FDAE2C4" w14:textId="7EFD2160" w:rsidR="00B457C0" w:rsidRPr="00B457C0" w:rsidRDefault="00B457C0" w:rsidP="00B457C0">
      <w:pPr>
        <w:ind w:firstLine="0"/>
        <w:jc w:val="center"/>
        <w:rPr>
          <w:rFonts w:ascii="(A) Arslan Wessam B" w:eastAsia="SKR HEAD1" w:hAnsi="(A) Arslan Wessam B" w:cs="(A) Arslan Wessam B"/>
          <w:b/>
          <w:bCs/>
          <w:rtl/>
          <w:lang w:bidi="ar-EG"/>
        </w:rPr>
      </w:pPr>
      <w:r w:rsidRPr="00B457C0">
        <w:rPr>
          <w:rFonts w:ascii="(A) Arslan Wessam B" w:eastAsia="Calibri" w:hAnsi="(A) Arslan Wessam B" w:cs="(A) Arslan Wessam B"/>
          <w:b/>
          <w:bCs/>
          <w:rtl/>
        </w:rPr>
        <w:t>وصلي الله وسلم وبارك على نبينا محمد وآله وصحبه</w:t>
      </w:r>
    </w:p>
    <w:p w14:paraId="4192941D" w14:textId="77777777" w:rsidR="00B457C0" w:rsidRDefault="00B457C0">
      <w:pPr>
        <w:spacing w:before="0" w:after="120" w:line="240" w:lineRule="auto"/>
        <w:ind w:firstLine="0"/>
        <w:jc w:val="left"/>
        <w:rPr>
          <w:rFonts w:ascii="SKR HEAD1" w:eastAsia="SKR HEAD1" w:hAnsi="SKR HEAD1" w:cs="SKR HEAD1"/>
          <w:sz w:val="32"/>
          <w:szCs w:val="32"/>
          <w:rtl/>
          <w:lang w:bidi="ar-EG"/>
        </w:rPr>
      </w:pPr>
      <w:r>
        <w:rPr>
          <w:rtl/>
          <w:lang w:bidi="ar-EG"/>
        </w:rPr>
        <w:br w:type="page"/>
      </w:r>
    </w:p>
    <w:p w14:paraId="44944630" w14:textId="393857F1" w:rsidR="00456E65" w:rsidRDefault="00456E65" w:rsidP="00456E65">
      <w:pPr>
        <w:pStyle w:val="Heading1"/>
        <w:rPr>
          <w:rtl/>
          <w:lang w:bidi="ar-EG"/>
        </w:rPr>
      </w:pPr>
      <w:r>
        <w:rPr>
          <w:rFonts w:hint="cs"/>
          <w:rtl/>
          <w:lang w:bidi="ar-EG"/>
        </w:rPr>
        <w:lastRenderedPageBreak/>
        <w:t>الفص</w:t>
      </w:r>
      <w:r w:rsidR="0046333C">
        <w:rPr>
          <w:rFonts w:hint="cs"/>
          <w:rtl/>
          <w:lang w:bidi="ar-EG"/>
        </w:rPr>
        <w:t>ـــ</w:t>
      </w:r>
      <w:r>
        <w:rPr>
          <w:rFonts w:hint="cs"/>
          <w:rtl/>
          <w:lang w:bidi="ar-EG"/>
        </w:rPr>
        <w:t>ل</w:t>
      </w:r>
      <w:r w:rsidR="002E02B5" w:rsidRPr="002E02B5">
        <w:rPr>
          <w:rFonts w:hint="cs"/>
          <w:sz w:val="28"/>
          <w:szCs w:val="28"/>
          <w:rtl/>
          <w:lang w:bidi="ar-EG"/>
        </w:rPr>
        <w:t xml:space="preserve"> </w:t>
      </w:r>
      <w:r>
        <w:rPr>
          <w:rFonts w:hint="cs"/>
          <w:rtl/>
          <w:lang w:bidi="ar-EG"/>
        </w:rPr>
        <w:t>الأول</w:t>
      </w:r>
      <w:r>
        <w:rPr>
          <w:rtl/>
          <w:lang w:bidi="ar-EG"/>
        </w:rPr>
        <w:br/>
      </w:r>
      <w:r w:rsidR="0046333C">
        <w:rPr>
          <w:rFonts w:hint="cs"/>
          <w:rtl/>
          <w:lang w:bidi="ar-EG"/>
        </w:rPr>
        <w:t>التعريف بمصطلحات البحث وتحرير محل النزاع حولها</w:t>
      </w:r>
    </w:p>
    <w:p w14:paraId="5CD9DBA1" w14:textId="4B5A2351" w:rsidR="00456E65" w:rsidRDefault="0046333C" w:rsidP="00456E65">
      <w:pPr>
        <w:pStyle w:val="Heading2"/>
        <w:rPr>
          <w:rtl/>
          <w:lang w:bidi="ar-EG"/>
        </w:rPr>
      </w:pPr>
      <w:r>
        <w:rPr>
          <w:rFonts w:hint="cs"/>
          <w:rtl/>
          <w:lang w:bidi="ar-EG"/>
        </w:rPr>
        <w:t>مقدمة:</w:t>
      </w:r>
    </w:p>
    <w:p w14:paraId="7E0A2734" w14:textId="3E422DF9" w:rsidR="0046333C" w:rsidRDefault="0046333C" w:rsidP="0046333C">
      <w:pPr>
        <w:rPr>
          <w:rtl/>
          <w:lang w:bidi="ar-EG"/>
        </w:rPr>
      </w:pPr>
      <w:r>
        <w:rPr>
          <w:rFonts w:hint="cs"/>
          <w:rtl/>
          <w:lang w:bidi="ar-EG"/>
        </w:rPr>
        <w:t>ترمي هذه الدراسة إلى إتاحة الفرصة للوقف لكي يلج بابًا من أبواب الخير وتنمية وحفظ كرامة وعزّة الإنسان والحيلولة دون إهانته وتشرذمه وغنائه من نوائب الزمان في كبَره ونهاية حياته، فما شرع الوقف إلا لعمل الخير ومدّ يد العون للمعوزين وتمويل احتياجاتهم.</w:t>
      </w:r>
    </w:p>
    <w:p w14:paraId="3FB5E108" w14:textId="1CE47AA4" w:rsidR="0046333C" w:rsidRDefault="0046333C" w:rsidP="0046333C">
      <w:pPr>
        <w:rPr>
          <w:rtl/>
          <w:lang w:bidi="ar-EG"/>
        </w:rPr>
      </w:pPr>
      <w:r>
        <w:rPr>
          <w:rFonts w:hint="cs"/>
          <w:rtl/>
          <w:lang w:bidi="ar-EG"/>
        </w:rPr>
        <w:t>واليوم وفي ظل العديد من الأسباب الباعثة على الخوف من معاناة وبؤس وانحطاط حياة من لا عائل لهم إلا الله سبحانه وتعالى من كبار السنّ والأرامل والمعاقين وأصحاب الأمراض المزمنة ومن على شاكلتهم، فإن الحاجة إلى تفعيل دور الوقف على النفس في حفظ حياة وكرامة هذه الفئات تزداد إلحاحًا، حيث أصبح الوقف على النفس حقًا من حقوق إنسانيتهم وتوفير الحياة الكريمة لهم.</w:t>
      </w:r>
    </w:p>
    <w:p w14:paraId="656B2ACE" w14:textId="0F0EC8E0" w:rsidR="0046333C" w:rsidRDefault="0046333C" w:rsidP="0046333C">
      <w:pPr>
        <w:rPr>
          <w:rtl/>
          <w:lang w:bidi="ar-EG"/>
        </w:rPr>
      </w:pPr>
      <w:r>
        <w:rPr>
          <w:rFonts w:hint="cs"/>
          <w:rtl/>
          <w:lang w:bidi="ar-EG"/>
        </w:rPr>
        <w:t xml:space="preserve">ولما كان هذا الموضوع لم يأخذ حظّه الكافي من البحث في كتابات المتقدمين، ولم يفز منهم إلا بإشارات سريعة، فإنه يمكن اعتبار هذه الدراسة استدراك لما ينبغي معرفته عن الموضوع، وتوطئة لهذه الدراسة فإننا سوف نقدم لها في الفصل الأول بالتعريف بأهم المصطلحات الواردة فيها وتحرير محل النزاع في هذه التعريفات، وإما الفصل الثاني فسوف نفرده لعرض مذاهب العلماء في جواز وصحة الوقف على النفس وأدلة كل فريق، وأما الفصل الثالث فسوف نخصصه لبيان موقف الدراسة الماثلة من ثلاثة قضايا هي: الوقف على النفس </w:t>
      </w:r>
      <w:r>
        <w:rPr>
          <w:rFonts w:ascii="Times New Roman" w:hAnsi="Times New Roman" w:cs="Times New Roman" w:hint="cs"/>
          <w:rtl/>
          <w:lang w:bidi="ar-EG"/>
        </w:rPr>
        <w:t>–</w:t>
      </w:r>
      <w:r>
        <w:rPr>
          <w:rFonts w:hint="cs"/>
          <w:rtl/>
          <w:lang w:bidi="ar-EG"/>
        </w:rPr>
        <w:t xml:space="preserve"> الوقف على جهات البر مع استثناء منافع المال الموقوف لمصلحة الواقف.</w:t>
      </w:r>
    </w:p>
    <w:p w14:paraId="4CDE7E4C" w14:textId="66E07F33" w:rsidR="0046333C" w:rsidRDefault="0046333C" w:rsidP="0046333C">
      <w:pPr>
        <w:pStyle w:val="Heading2"/>
        <w:rPr>
          <w:rtl/>
          <w:lang w:bidi="ar-EG"/>
        </w:rPr>
      </w:pPr>
      <w:r>
        <w:rPr>
          <w:rFonts w:hint="cs"/>
          <w:rtl/>
          <w:lang w:bidi="ar-EG"/>
        </w:rPr>
        <w:lastRenderedPageBreak/>
        <w:t>المدلول اللغوي والاصطلاحي للنفس:</w:t>
      </w:r>
    </w:p>
    <w:p w14:paraId="4449C229" w14:textId="7977A848" w:rsidR="0046333C" w:rsidRDefault="0046333C" w:rsidP="0046333C">
      <w:pPr>
        <w:rPr>
          <w:rtl/>
          <w:lang w:bidi="ar-EG"/>
        </w:rPr>
      </w:pPr>
      <w:r>
        <w:rPr>
          <w:rFonts w:hint="cs"/>
          <w:rtl/>
          <w:lang w:bidi="ar-EG"/>
        </w:rPr>
        <w:t>جاء في المعجم الوجيز: نَفُسَ الشيء نفاسه: كان عظيم القيمة فهو نفيس وإلا نْفَسُ: الأعظم قيمة، والنَّفْس: الروح، وذاتُ الشيء وعينُه والجمع: أنفُس، ونُفُوس، والنفيس: عظيم القيمة</w:t>
      </w:r>
      <w:r w:rsidRPr="0046333C">
        <w:rPr>
          <w:rFonts w:hint="cs"/>
          <w:vertAlign w:val="superscript"/>
          <w:rtl/>
          <w:lang w:bidi="ar-EG"/>
        </w:rPr>
        <w:t>(</w:t>
      </w:r>
      <w:r w:rsidRPr="0046333C">
        <w:rPr>
          <w:vertAlign w:val="superscript"/>
          <w:rtl/>
        </w:rPr>
        <w:footnoteReference w:id="2"/>
      </w:r>
      <w:r w:rsidRPr="0046333C">
        <w:rPr>
          <w:rFonts w:hint="cs"/>
          <w:vertAlign w:val="superscript"/>
          <w:rtl/>
          <w:lang w:bidi="ar-EG"/>
        </w:rPr>
        <w:t>)</w:t>
      </w:r>
      <w:r>
        <w:rPr>
          <w:rFonts w:hint="cs"/>
          <w:rtl/>
          <w:lang w:bidi="ar-EG"/>
        </w:rPr>
        <w:t>.</w:t>
      </w:r>
    </w:p>
    <w:p w14:paraId="7D4A9B37" w14:textId="15E8BB18" w:rsidR="0046333C" w:rsidRDefault="0046333C" w:rsidP="0046333C">
      <w:pPr>
        <w:rPr>
          <w:rtl/>
          <w:lang w:bidi="ar-EG"/>
        </w:rPr>
      </w:pPr>
      <w:r>
        <w:rPr>
          <w:rFonts w:hint="cs"/>
          <w:rtl/>
          <w:lang w:bidi="ar-EG"/>
        </w:rPr>
        <w:t>وجاء في إحياء علوم الدين لأبي حامد محمد الغزالي: النفس: مشترك بين معان منها: اللطيفة (الربانية الروحانية) التي هي الإنسان بالحقيقة وهي نفس الإنسان وذاته وحقيقته العالمة باللاه وسائر المعلومات</w:t>
      </w:r>
      <w:r w:rsidRPr="0046333C">
        <w:rPr>
          <w:rFonts w:hint="cs"/>
          <w:vertAlign w:val="superscript"/>
          <w:rtl/>
          <w:lang w:bidi="ar-EG"/>
        </w:rPr>
        <w:t>(</w:t>
      </w:r>
      <w:r w:rsidRPr="0046333C">
        <w:rPr>
          <w:vertAlign w:val="superscript"/>
          <w:rtl/>
        </w:rPr>
        <w:footnoteReference w:id="3"/>
      </w:r>
      <w:r w:rsidRPr="0046333C">
        <w:rPr>
          <w:rFonts w:hint="cs"/>
          <w:vertAlign w:val="superscript"/>
          <w:rtl/>
          <w:lang w:bidi="ar-EG"/>
        </w:rPr>
        <w:t>)</w:t>
      </w:r>
      <w:r>
        <w:rPr>
          <w:rFonts w:hint="cs"/>
          <w:rtl/>
          <w:lang w:bidi="ar-EG"/>
        </w:rPr>
        <w:t>.</w:t>
      </w:r>
    </w:p>
    <w:p w14:paraId="0E348BC7" w14:textId="50D87057" w:rsidR="004D1CE1" w:rsidRDefault="004D1CE1" w:rsidP="004D1CE1">
      <w:pPr>
        <w:pStyle w:val="Heading2"/>
        <w:rPr>
          <w:rtl/>
          <w:lang w:bidi="ar-EG"/>
        </w:rPr>
      </w:pPr>
      <w:r>
        <w:rPr>
          <w:rFonts w:hint="cs"/>
          <w:rtl/>
          <w:lang w:bidi="ar-EG"/>
        </w:rPr>
        <w:t>أهمية النفس في صلة العبد بربه:</w:t>
      </w:r>
    </w:p>
    <w:p w14:paraId="2058A845" w14:textId="19ECDF39" w:rsidR="004D1CE1" w:rsidRDefault="004D1CE1" w:rsidP="004D1CE1">
      <w:pPr>
        <w:rPr>
          <w:rtl/>
          <w:lang w:bidi="ar-EG"/>
        </w:rPr>
      </w:pPr>
      <w:r>
        <w:rPr>
          <w:rFonts w:hint="cs"/>
          <w:rtl/>
          <w:lang w:bidi="ar-EG"/>
        </w:rPr>
        <w:t>إن نفس الإنسان هي رأس مال تعامله مع الله عز وجل، فإن نسي ربّه أنساه الله نفسه، ففقد رأس ماله، وإن خاف مقام ربه ونهى النفس عن هواها، وعُني بها فزكّاها، فإن الجنة هي المأوى.</w:t>
      </w:r>
    </w:p>
    <w:p w14:paraId="35E55684" w14:textId="0F387DB9" w:rsidR="004D1CE1" w:rsidRDefault="004D1CE1" w:rsidP="004D1CE1">
      <w:pPr>
        <w:pStyle w:val="Heading2"/>
        <w:rPr>
          <w:rtl/>
          <w:lang w:bidi="ar-EG"/>
        </w:rPr>
      </w:pPr>
      <w:r>
        <w:rPr>
          <w:rFonts w:hint="cs"/>
          <w:rtl/>
          <w:lang w:bidi="ar-EG"/>
        </w:rPr>
        <w:t>البيان القرآني لأنواع النفوس:</w:t>
      </w:r>
    </w:p>
    <w:p w14:paraId="62CC5464" w14:textId="66B38E52" w:rsidR="004D1CE1" w:rsidRDefault="004D1CE1" w:rsidP="004D1CE1">
      <w:pPr>
        <w:rPr>
          <w:rtl/>
          <w:lang w:bidi="ar-EG"/>
        </w:rPr>
      </w:pPr>
      <w:r>
        <w:rPr>
          <w:rFonts w:hint="cs"/>
          <w:rtl/>
          <w:lang w:bidi="ar-EG"/>
        </w:rPr>
        <w:t>لقد بيّن القرآن الكريم أنواع للنفوس التي تصاحب الناس، وهي:</w:t>
      </w:r>
    </w:p>
    <w:p w14:paraId="55880D4B" w14:textId="374CB052" w:rsidR="004D1CE1" w:rsidRDefault="004D1CE1">
      <w:pPr>
        <w:pStyle w:val="ListParagraph"/>
        <w:numPr>
          <w:ilvl w:val="0"/>
          <w:numId w:val="4"/>
        </w:numPr>
        <w:ind w:left="567" w:hanging="567"/>
        <w:rPr>
          <w:lang w:bidi="ar-EG"/>
        </w:rPr>
      </w:pPr>
      <w:r w:rsidRPr="004D1CE1">
        <w:rPr>
          <w:rFonts w:hint="cs"/>
          <w:b/>
          <w:bCs/>
          <w:rtl/>
        </w:rPr>
        <w:t xml:space="preserve">النفس الأمّارة بالسوء: </w:t>
      </w:r>
      <w:r>
        <w:rPr>
          <w:rFonts w:hint="cs"/>
          <w:rtl/>
          <w:lang w:bidi="ar-EG"/>
        </w:rPr>
        <w:t xml:space="preserve">فقال عنها: </w:t>
      </w:r>
      <w:r>
        <w:rPr>
          <w:rFonts w:ascii="QCF2BSML" w:eastAsiaTheme="minorHAnsi" w:hAnsi="QCF2BSML" w:cs="QCF2BSML"/>
          <w:color w:val="000000"/>
          <w:kern w:val="0"/>
          <w:sz w:val="26"/>
          <w:szCs w:val="26"/>
          <w:rtl/>
        </w:rPr>
        <w:t>ﱵﭐ</w:t>
      </w:r>
      <w:r>
        <w:rPr>
          <w:rFonts w:ascii="QCF2242" w:eastAsiaTheme="minorHAnsi" w:hAnsi="QCF2242" w:cs="QCF2242"/>
          <w:color w:val="000000"/>
          <w:kern w:val="0"/>
          <w:sz w:val="2"/>
          <w:szCs w:val="2"/>
          <w:rtl/>
        </w:rPr>
        <w:t xml:space="preserve"> </w:t>
      </w:r>
      <w:r>
        <w:rPr>
          <w:rFonts w:ascii="QCF2242" w:eastAsiaTheme="minorHAnsi" w:hAnsi="QCF2242" w:cs="QCF2242"/>
          <w:color w:val="000000"/>
          <w:kern w:val="0"/>
          <w:sz w:val="26"/>
          <w:szCs w:val="26"/>
          <w:rtl/>
        </w:rPr>
        <w:t>ﱆ</w:t>
      </w:r>
      <w:r>
        <w:rPr>
          <w:rFonts w:ascii="QCF2242" w:eastAsiaTheme="minorHAnsi" w:hAnsi="QCF2242" w:cs="QCF2242"/>
          <w:color w:val="000000"/>
          <w:kern w:val="0"/>
          <w:sz w:val="2"/>
          <w:szCs w:val="2"/>
          <w:rtl/>
        </w:rPr>
        <w:t xml:space="preserve"> </w:t>
      </w:r>
      <w:r>
        <w:rPr>
          <w:rFonts w:ascii="QCF2242" w:eastAsiaTheme="minorHAnsi" w:hAnsi="QCF2242" w:cs="QCF2242"/>
          <w:color w:val="000000"/>
          <w:kern w:val="0"/>
          <w:sz w:val="26"/>
          <w:szCs w:val="26"/>
          <w:rtl/>
        </w:rPr>
        <w:t>ﱇ</w:t>
      </w:r>
      <w:r>
        <w:rPr>
          <w:rFonts w:ascii="QCF2242" w:eastAsiaTheme="minorHAnsi" w:hAnsi="QCF2242" w:cs="QCF2242"/>
          <w:color w:val="000000"/>
          <w:kern w:val="0"/>
          <w:sz w:val="2"/>
          <w:szCs w:val="2"/>
          <w:rtl/>
        </w:rPr>
        <w:t xml:space="preserve"> </w:t>
      </w:r>
      <w:r>
        <w:rPr>
          <w:rFonts w:ascii="QCF2242" w:eastAsiaTheme="minorHAnsi" w:hAnsi="QCF2242" w:cs="QCF2242"/>
          <w:color w:val="000000"/>
          <w:kern w:val="0"/>
          <w:sz w:val="26"/>
          <w:szCs w:val="26"/>
          <w:rtl/>
        </w:rPr>
        <w:t>ﱈ</w:t>
      </w:r>
      <w:r>
        <w:rPr>
          <w:rFonts w:ascii="QCF2242" w:eastAsiaTheme="minorHAnsi" w:hAnsi="QCF2242" w:cs="QCF2242"/>
          <w:color w:val="000000"/>
          <w:kern w:val="0"/>
          <w:sz w:val="2"/>
          <w:szCs w:val="2"/>
          <w:rtl/>
        </w:rPr>
        <w:t xml:space="preserve"> </w:t>
      </w:r>
      <w:r>
        <w:rPr>
          <w:rFonts w:ascii="QCF2242" w:eastAsiaTheme="minorHAnsi" w:hAnsi="QCF2242" w:cs="QCF2242"/>
          <w:color w:val="000000"/>
          <w:kern w:val="0"/>
          <w:sz w:val="26"/>
          <w:szCs w:val="26"/>
          <w:rtl/>
        </w:rPr>
        <w:t>ﱉ</w:t>
      </w:r>
      <w:r>
        <w:rPr>
          <w:rFonts w:ascii="QCF2242" w:eastAsiaTheme="minorHAnsi" w:hAnsi="QCF2242" w:cs="QCF2242"/>
          <w:color w:val="000000"/>
          <w:kern w:val="0"/>
          <w:sz w:val="2"/>
          <w:szCs w:val="2"/>
          <w:rtl/>
        </w:rPr>
        <w:t xml:space="preserve"> </w:t>
      </w:r>
      <w:r>
        <w:rPr>
          <w:rFonts w:ascii="QCF2242" w:eastAsiaTheme="minorHAnsi" w:hAnsi="QCF2242" w:cs="QCF2242"/>
          <w:color w:val="000000"/>
          <w:kern w:val="0"/>
          <w:sz w:val="26"/>
          <w:szCs w:val="26"/>
          <w:rtl/>
        </w:rPr>
        <w:t>ﱊ</w:t>
      </w:r>
      <w:r>
        <w:rPr>
          <w:rFonts w:ascii="QCF2242" w:eastAsiaTheme="minorHAnsi" w:hAnsi="QCF2242" w:cs="QCF2242"/>
          <w:color w:val="000000"/>
          <w:kern w:val="0"/>
          <w:sz w:val="2"/>
          <w:szCs w:val="2"/>
          <w:rtl/>
        </w:rPr>
        <w:t xml:space="preserve"> </w:t>
      </w:r>
      <w:r>
        <w:rPr>
          <w:rFonts w:ascii="QCF2242" w:eastAsiaTheme="minorHAnsi" w:hAnsi="QCF2242" w:cs="QCF2242"/>
          <w:color w:val="000000"/>
          <w:kern w:val="0"/>
          <w:sz w:val="26"/>
          <w:szCs w:val="26"/>
          <w:rtl/>
        </w:rPr>
        <w:t>ﱋ</w:t>
      </w:r>
      <w:r>
        <w:rPr>
          <w:rFonts w:ascii="QCF2242" w:eastAsiaTheme="minorHAnsi" w:hAnsi="QCF2242" w:cs="QCF2242"/>
          <w:color w:val="000000"/>
          <w:kern w:val="0"/>
          <w:sz w:val="2"/>
          <w:szCs w:val="2"/>
          <w:rtl/>
        </w:rPr>
        <w:t xml:space="preserve"> </w:t>
      </w:r>
      <w:r>
        <w:rPr>
          <w:rFonts w:ascii="QCF2242" w:eastAsiaTheme="minorHAnsi" w:hAnsi="QCF2242" w:cs="QCF2242"/>
          <w:color w:val="000000"/>
          <w:kern w:val="0"/>
          <w:sz w:val="26"/>
          <w:szCs w:val="26"/>
          <w:rtl/>
        </w:rPr>
        <w:t>ﱌ</w:t>
      </w:r>
      <w:r>
        <w:rPr>
          <w:rFonts w:ascii="QCF2242" w:eastAsiaTheme="minorHAnsi" w:hAnsi="QCF2242" w:cs="QCF2242"/>
          <w:color w:val="000000"/>
          <w:kern w:val="0"/>
          <w:sz w:val="2"/>
          <w:szCs w:val="2"/>
          <w:rtl/>
        </w:rPr>
        <w:t xml:space="preserve">  </w:t>
      </w:r>
      <w:r>
        <w:rPr>
          <w:rFonts w:ascii="QCF2242" w:eastAsiaTheme="minorHAnsi" w:hAnsi="QCF2242" w:cs="QCF2242"/>
          <w:color w:val="000000"/>
          <w:kern w:val="0"/>
          <w:sz w:val="26"/>
          <w:szCs w:val="26"/>
          <w:rtl/>
        </w:rPr>
        <w:t>ﱍﱎ</w:t>
      </w:r>
      <w:r>
        <w:rPr>
          <w:rFonts w:ascii="QCF2242" w:eastAsiaTheme="minorHAnsi" w:hAnsi="QCF2242" w:cs="QCF2242"/>
          <w:color w:val="000000"/>
          <w:kern w:val="0"/>
          <w:sz w:val="2"/>
          <w:szCs w:val="2"/>
          <w:rtl/>
        </w:rPr>
        <w:t xml:space="preserve"> </w:t>
      </w:r>
      <w:r>
        <w:rPr>
          <w:rFonts w:ascii="QCF2242" w:eastAsiaTheme="minorHAnsi" w:hAnsi="QCF2242" w:cs="QCF2242"/>
          <w:color w:val="000000"/>
          <w:kern w:val="0"/>
          <w:sz w:val="26"/>
          <w:szCs w:val="26"/>
          <w:rtl/>
        </w:rPr>
        <w:t>ﱏ</w:t>
      </w:r>
      <w:r>
        <w:rPr>
          <w:rFonts w:ascii="QCF2242" w:eastAsiaTheme="minorHAnsi" w:hAnsi="QCF2242" w:cs="QCF2242"/>
          <w:color w:val="000000"/>
          <w:kern w:val="0"/>
          <w:sz w:val="2"/>
          <w:szCs w:val="2"/>
          <w:rtl/>
        </w:rPr>
        <w:t xml:space="preserve"> </w:t>
      </w:r>
      <w:r>
        <w:rPr>
          <w:rFonts w:ascii="QCF2242" w:eastAsiaTheme="minorHAnsi" w:hAnsi="QCF2242" w:cs="QCF2242"/>
          <w:color w:val="000000"/>
          <w:kern w:val="0"/>
          <w:sz w:val="26"/>
          <w:szCs w:val="26"/>
          <w:rtl/>
        </w:rPr>
        <w:t>ﱐ</w:t>
      </w:r>
      <w:r>
        <w:rPr>
          <w:rFonts w:ascii="QCF2BSML" w:eastAsiaTheme="minorHAnsi" w:hAnsi="QCF2BSML" w:cs="QCF2BSML"/>
          <w:color w:val="000000"/>
          <w:kern w:val="0"/>
          <w:sz w:val="26"/>
          <w:szCs w:val="26"/>
          <w:rtl/>
        </w:rPr>
        <w:t>ﱴ</w:t>
      </w:r>
      <w:r w:rsidRPr="004D1CE1">
        <w:rPr>
          <w:rFonts w:hint="cs"/>
          <w:rtl/>
        </w:rPr>
        <w:t xml:space="preserve"> الآية 53 من سورة يوسف.</w:t>
      </w:r>
    </w:p>
    <w:p w14:paraId="3D64A8B3" w14:textId="34C02570" w:rsidR="004D1CE1" w:rsidRPr="004D1CE1" w:rsidRDefault="004D1CE1">
      <w:pPr>
        <w:pStyle w:val="ListParagraph"/>
        <w:numPr>
          <w:ilvl w:val="0"/>
          <w:numId w:val="4"/>
        </w:numPr>
        <w:ind w:left="567" w:hanging="567"/>
        <w:rPr>
          <w:lang w:bidi="ar-EG"/>
        </w:rPr>
      </w:pPr>
      <w:r w:rsidRPr="004D1CE1">
        <w:rPr>
          <w:rFonts w:hint="cs"/>
          <w:b/>
          <w:bCs/>
          <w:rtl/>
          <w:lang w:bidi="ar-EG"/>
        </w:rPr>
        <w:t>النفس اللّوّامة:</w:t>
      </w:r>
      <w:r>
        <w:rPr>
          <w:rFonts w:hint="cs"/>
          <w:rtl/>
          <w:lang w:bidi="ar-EG"/>
        </w:rPr>
        <w:t xml:space="preserve"> وقال عنها: </w:t>
      </w:r>
      <w:r>
        <w:rPr>
          <w:rFonts w:ascii="QCF2BSML" w:eastAsiaTheme="minorHAnsi" w:hAnsi="QCF2BSML" w:cs="QCF2BSML"/>
          <w:color w:val="000000"/>
          <w:kern w:val="0"/>
          <w:sz w:val="26"/>
          <w:szCs w:val="26"/>
          <w:rtl/>
        </w:rPr>
        <w:t>ﱵﭐ</w:t>
      </w:r>
      <w:r>
        <w:rPr>
          <w:rFonts w:ascii="QCF2577" w:eastAsiaTheme="minorHAnsi" w:hAnsi="QCF2577" w:cs="QCF2577"/>
          <w:color w:val="000000"/>
          <w:kern w:val="0"/>
          <w:sz w:val="2"/>
          <w:szCs w:val="2"/>
          <w:rtl/>
        </w:rPr>
        <w:t xml:space="preserve"> </w:t>
      </w:r>
      <w:r>
        <w:rPr>
          <w:rFonts w:ascii="QCF2577" w:eastAsiaTheme="minorHAnsi" w:hAnsi="QCF2577" w:cs="QCF2577"/>
          <w:color w:val="000000"/>
          <w:kern w:val="0"/>
          <w:sz w:val="26"/>
          <w:szCs w:val="26"/>
          <w:rtl/>
        </w:rPr>
        <w:t>ﱿ</w:t>
      </w:r>
      <w:r>
        <w:rPr>
          <w:rFonts w:ascii="QCF2577" w:eastAsiaTheme="minorHAnsi" w:hAnsi="QCF2577" w:cs="QCF2577"/>
          <w:color w:val="000000"/>
          <w:kern w:val="0"/>
          <w:sz w:val="2"/>
          <w:szCs w:val="2"/>
          <w:rtl/>
        </w:rPr>
        <w:t xml:space="preserve"> </w:t>
      </w:r>
      <w:r>
        <w:rPr>
          <w:rFonts w:ascii="QCF2577" w:eastAsiaTheme="minorHAnsi" w:hAnsi="QCF2577" w:cs="QCF2577"/>
          <w:color w:val="000000"/>
          <w:kern w:val="0"/>
          <w:sz w:val="26"/>
          <w:szCs w:val="26"/>
          <w:rtl/>
        </w:rPr>
        <w:t>ﲀ</w:t>
      </w:r>
      <w:r>
        <w:rPr>
          <w:rFonts w:ascii="QCF2577" w:eastAsiaTheme="minorHAnsi" w:hAnsi="QCF2577" w:cs="QCF2577"/>
          <w:color w:val="000000"/>
          <w:kern w:val="0"/>
          <w:sz w:val="2"/>
          <w:szCs w:val="2"/>
          <w:rtl/>
        </w:rPr>
        <w:t xml:space="preserve"> </w:t>
      </w:r>
      <w:r>
        <w:rPr>
          <w:rFonts w:ascii="QCF2577" w:eastAsiaTheme="minorHAnsi" w:hAnsi="QCF2577" w:cs="QCF2577"/>
          <w:color w:val="000000"/>
          <w:kern w:val="0"/>
          <w:sz w:val="26"/>
          <w:szCs w:val="26"/>
          <w:rtl/>
        </w:rPr>
        <w:t>ﲁ</w:t>
      </w:r>
      <w:r>
        <w:rPr>
          <w:rFonts w:ascii="QCF2577" w:eastAsiaTheme="minorHAnsi" w:hAnsi="QCF2577" w:cs="QCF2577"/>
          <w:color w:val="000000"/>
          <w:kern w:val="0"/>
          <w:sz w:val="2"/>
          <w:szCs w:val="2"/>
          <w:rtl/>
        </w:rPr>
        <w:t xml:space="preserve"> </w:t>
      </w:r>
      <w:r>
        <w:rPr>
          <w:rFonts w:ascii="QCF2577" w:eastAsiaTheme="minorHAnsi" w:hAnsi="QCF2577" w:cs="QCF2577"/>
          <w:color w:val="000000"/>
          <w:kern w:val="0"/>
          <w:sz w:val="26"/>
          <w:szCs w:val="26"/>
          <w:rtl/>
        </w:rPr>
        <w:t>ﲂ</w:t>
      </w:r>
      <w:r>
        <w:rPr>
          <w:rFonts w:ascii="QCF2BSML" w:eastAsiaTheme="minorHAnsi" w:hAnsi="QCF2BSML" w:cs="QCF2BSML"/>
          <w:color w:val="000000"/>
          <w:kern w:val="0"/>
          <w:sz w:val="26"/>
          <w:szCs w:val="26"/>
          <w:rtl/>
        </w:rPr>
        <w:t>ﱴ</w:t>
      </w:r>
      <w:r w:rsidRPr="004D1CE1">
        <w:rPr>
          <w:rFonts w:hint="cs"/>
          <w:rtl/>
        </w:rPr>
        <w:t xml:space="preserve"> </w:t>
      </w:r>
      <w:r w:rsidR="00691C9C">
        <w:rPr>
          <w:rFonts w:hint="cs"/>
          <w:rtl/>
        </w:rPr>
        <w:t>[</w:t>
      </w:r>
      <w:r>
        <w:rPr>
          <w:rFonts w:eastAsiaTheme="minorHAnsi" w:hint="cs"/>
          <w:color w:val="000000"/>
          <w:kern w:val="0"/>
          <w:sz w:val="26"/>
          <w:szCs w:val="26"/>
          <w:rtl/>
        </w:rPr>
        <w:t>ا</w:t>
      </w:r>
      <w:r>
        <w:rPr>
          <w:rFonts w:eastAsiaTheme="minorHAnsi" w:hint="cs"/>
          <w:color w:val="000000"/>
          <w:kern w:val="0"/>
          <w:rtl/>
        </w:rPr>
        <w:t>لآية 2 من سورة القيامة</w:t>
      </w:r>
      <w:r w:rsidR="00691C9C">
        <w:rPr>
          <w:rFonts w:eastAsiaTheme="minorHAnsi" w:hint="cs"/>
          <w:color w:val="000000"/>
          <w:kern w:val="0"/>
          <w:rtl/>
        </w:rPr>
        <w:t>]</w:t>
      </w:r>
      <w:r>
        <w:rPr>
          <w:rFonts w:eastAsiaTheme="minorHAnsi" w:hint="cs"/>
          <w:color w:val="000000"/>
          <w:kern w:val="0"/>
          <w:rtl/>
        </w:rPr>
        <w:t>.</w:t>
      </w:r>
    </w:p>
    <w:p w14:paraId="303D8F79" w14:textId="5191C86E" w:rsidR="004D1CE1" w:rsidRPr="004D1CE1" w:rsidRDefault="004D1CE1">
      <w:pPr>
        <w:pStyle w:val="ListParagraph"/>
        <w:numPr>
          <w:ilvl w:val="0"/>
          <w:numId w:val="4"/>
        </w:numPr>
        <w:ind w:left="567" w:hanging="567"/>
        <w:rPr>
          <w:lang w:bidi="ar-EG"/>
        </w:rPr>
      </w:pPr>
      <w:r w:rsidRPr="004D1CE1">
        <w:rPr>
          <w:rFonts w:eastAsiaTheme="minorHAnsi" w:hint="cs"/>
          <w:b/>
          <w:bCs/>
          <w:color w:val="000000"/>
          <w:kern w:val="0"/>
          <w:rtl/>
        </w:rPr>
        <w:lastRenderedPageBreak/>
        <w:t>النفس المُلْهَمَة:</w:t>
      </w:r>
      <w:r>
        <w:rPr>
          <w:rFonts w:eastAsiaTheme="minorHAnsi" w:hint="cs"/>
          <w:color w:val="000000"/>
          <w:kern w:val="0"/>
          <w:rtl/>
        </w:rPr>
        <w:t xml:space="preserve"> وقال عنها: </w:t>
      </w:r>
      <w:r>
        <w:rPr>
          <w:rFonts w:ascii="QCF2BSML" w:eastAsiaTheme="minorHAnsi" w:hAnsi="QCF2BSML" w:cs="QCF2BSML"/>
          <w:color w:val="000000"/>
          <w:kern w:val="0"/>
          <w:sz w:val="26"/>
          <w:szCs w:val="26"/>
          <w:rtl/>
        </w:rPr>
        <w:t>ﱵﭐ</w:t>
      </w:r>
      <w:r>
        <w:rPr>
          <w:rFonts w:ascii="QCF2595" w:eastAsiaTheme="minorHAnsi" w:hAnsi="QCF2595" w:cs="QCF2595"/>
          <w:color w:val="000000"/>
          <w:kern w:val="0"/>
          <w:sz w:val="2"/>
          <w:szCs w:val="2"/>
          <w:rtl/>
        </w:rPr>
        <w:t xml:space="preserve"> </w:t>
      </w:r>
      <w:r>
        <w:rPr>
          <w:rFonts w:ascii="QCF2595" w:eastAsiaTheme="minorHAnsi" w:hAnsi="QCF2595" w:cs="QCF2595"/>
          <w:color w:val="000000"/>
          <w:kern w:val="0"/>
          <w:sz w:val="26"/>
          <w:szCs w:val="26"/>
          <w:rtl/>
        </w:rPr>
        <w:t>ﱣ</w:t>
      </w:r>
      <w:r>
        <w:rPr>
          <w:rFonts w:ascii="QCF2595" w:eastAsiaTheme="minorHAnsi" w:hAnsi="QCF2595" w:cs="QCF2595"/>
          <w:color w:val="000000"/>
          <w:kern w:val="0"/>
          <w:sz w:val="2"/>
          <w:szCs w:val="2"/>
          <w:rtl/>
        </w:rPr>
        <w:t xml:space="preserve"> </w:t>
      </w:r>
      <w:r>
        <w:rPr>
          <w:rFonts w:ascii="QCF2595" w:eastAsiaTheme="minorHAnsi" w:hAnsi="QCF2595" w:cs="QCF2595"/>
          <w:color w:val="000000"/>
          <w:kern w:val="0"/>
          <w:sz w:val="26"/>
          <w:szCs w:val="26"/>
          <w:rtl/>
        </w:rPr>
        <w:t>ﱤ</w:t>
      </w:r>
      <w:r>
        <w:rPr>
          <w:rFonts w:ascii="QCF2595" w:eastAsiaTheme="minorHAnsi" w:hAnsi="QCF2595" w:cs="QCF2595"/>
          <w:color w:val="000000"/>
          <w:kern w:val="0"/>
          <w:sz w:val="2"/>
          <w:szCs w:val="2"/>
          <w:rtl/>
        </w:rPr>
        <w:t xml:space="preserve"> </w:t>
      </w:r>
      <w:r>
        <w:rPr>
          <w:rFonts w:ascii="QCF2595" w:eastAsiaTheme="minorHAnsi" w:hAnsi="QCF2595" w:cs="QCF2595"/>
          <w:color w:val="000000"/>
          <w:kern w:val="0"/>
          <w:sz w:val="26"/>
          <w:szCs w:val="26"/>
          <w:rtl/>
        </w:rPr>
        <w:t>ﱥ</w:t>
      </w:r>
      <w:r>
        <w:rPr>
          <w:rFonts w:ascii="QCF2595" w:eastAsiaTheme="minorHAnsi" w:hAnsi="QCF2595" w:cs="QCF2595"/>
          <w:color w:val="000000"/>
          <w:kern w:val="0"/>
          <w:sz w:val="2"/>
          <w:szCs w:val="2"/>
          <w:rtl/>
        </w:rPr>
        <w:t xml:space="preserve"> </w:t>
      </w:r>
      <w:r>
        <w:rPr>
          <w:rFonts w:ascii="QCF2595" w:eastAsiaTheme="minorHAnsi" w:hAnsi="QCF2595" w:cs="QCF2595"/>
          <w:color w:val="000000"/>
          <w:kern w:val="0"/>
          <w:sz w:val="26"/>
          <w:szCs w:val="26"/>
          <w:rtl/>
        </w:rPr>
        <w:t>ﱦ</w:t>
      </w:r>
      <w:r>
        <w:rPr>
          <w:rFonts w:ascii="QCF2595" w:eastAsiaTheme="minorHAnsi" w:hAnsi="QCF2595" w:cs="QCF2595"/>
          <w:color w:val="000000"/>
          <w:kern w:val="0"/>
          <w:sz w:val="2"/>
          <w:szCs w:val="2"/>
          <w:rtl/>
        </w:rPr>
        <w:t xml:space="preserve"> </w:t>
      </w:r>
      <w:r>
        <w:rPr>
          <w:rFonts w:ascii="QCF2595" w:eastAsiaTheme="minorHAnsi" w:hAnsi="QCF2595" w:cs="QCF2595"/>
          <w:color w:val="000000"/>
          <w:kern w:val="0"/>
          <w:sz w:val="26"/>
          <w:szCs w:val="26"/>
          <w:rtl/>
        </w:rPr>
        <w:t>ﱧ</w:t>
      </w:r>
      <w:r>
        <w:rPr>
          <w:rFonts w:ascii="QCF2595" w:eastAsiaTheme="minorHAnsi" w:hAnsi="QCF2595" w:cs="QCF2595"/>
          <w:color w:val="000000"/>
          <w:kern w:val="0"/>
          <w:sz w:val="2"/>
          <w:szCs w:val="2"/>
          <w:rtl/>
        </w:rPr>
        <w:t xml:space="preserve"> </w:t>
      </w:r>
      <w:r>
        <w:rPr>
          <w:rFonts w:ascii="QCF2595" w:eastAsiaTheme="minorHAnsi" w:hAnsi="QCF2595" w:cs="QCF2595"/>
          <w:color w:val="000000"/>
          <w:kern w:val="0"/>
          <w:sz w:val="26"/>
          <w:szCs w:val="26"/>
          <w:rtl/>
        </w:rPr>
        <w:t>ﱨ</w:t>
      </w:r>
      <w:r>
        <w:rPr>
          <w:rFonts w:ascii="QCF2595" w:eastAsiaTheme="minorHAnsi" w:hAnsi="QCF2595" w:cs="QCF2595"/>
          <w:color w:val="000000"/>
          <w:kern w:val="0"/>
          <w:sz w:val="2"/>
          <w:szCs w:val="2"/>
          <w:rtl/>
        </w:rPr>
        <w:t xml:space="preserve"> </w:t>
      </w:r>
      <w:r>
        <w:rPr>
          <w:rFonts w:ascii="QCF2595" w:eastAsiaTheme="minorHAnsi" w:hAnsi="QCF2595" w:cs="QCF2595"/>
          <w:color w:val="000000"/>
          <w:kern w:val="0"/>
          <w:sz w:val="26"/>
          <w:szCs w:val="26"/>
          <w:rtl/>
        </w:rPr>
        <w:t>ﱩ</w:t>
      </w:r>
      <w:r>
        <w:rPr>
          <w:rFonts w:ascii="QCF2BSML" w:eastAsiaTheme="minorHAnsi" w:hAnsi="QCF2BSML" w:cs="QCF2BSML"/>
          <w:color w:val="000000"/>
          <w:kern w:val="0"/>
          <w:sz w:val="26"/>
          <w:szCs w:val="26"/>
          <w:rtl/>
        </w:rPr>
        <w:t>ﱴ</w:t>
      </w:r>
      <w:r>
        <w:rPr>
          <w:rFonts w:ascii="Arial" w:eastAsiaTheme="minorHAnsi" w:hAnsi="Arial" w:cs="Arial"/>
          <w:color w:val="000000"/>
          <w:kern w:val="0"/>
          <w:sz w:val="2"/>
          <w:szCs w:val="2"/>
        </w:rPr>
        <w:t xml:space="preserve"> </w:t>
      </w:r>
      <w:r>
        <w:rPr>
          <w:rFonts w:eastAsiaTheme="minorHAnsi" w:hint="cs"/>
          <w:color w:val="000000"/>
          <w:kern w:val="0"/>
          <w:rtl/>
        </w:rPr>
        <w:t xml:space="preserve"> </w:t>
      </w:r>
      <w:r w:rsidR="00691C9C">
        <w:rPr>
          <w:rFonts w:eastAsiaTheme="minorHAnsi" w:hint="cs"/>
          <w:color w:val="000000"/>
          <w:kern w:val="0"/>
          <w:rtl/>
        </w:rPr>
        <w:t>[</w:t>
      </w:r>
      <w:r>
        <w:rPr>
          <w:rFonts w:eastAsiaTheme="minorHAnsi" w:hint="cs"/>
          <w:color w:val="000000"/>
          <w:kern w:val="0"/>
          <w:rtl/>
        </w:rPr>
        <w:t>الآيتين رقم 8،7 من سورة الشمس</w:t>
      </w:r>
      <w:r w:rsidR="00691C9C">
        <w:rPr>
          <w:rFonts w:eastAsiaTheme="minorHAnsi" w:hint="cs"/>
          <w:color w:val="000000"/>
          <w:kern w:val="0"/>
          <w:rtl/>
        </w:rPr>
        <w:t>ٍ]</w:t>
      </w:r>
      <w:r>
        <w:rPr>
          <w:rFonts w:eastAsiaTheme="minorHAnsi" w:hint="cs"/>
          <w:color w:val="000000"/>
          <w:kern w:val="0"/>
          <w:rtl/>
        </w:rPr>
        <w:t>.</w:t>
      </w:r>
    </w:p>
    <w:p w14:paraId="6B5DF783" w14:textId="5CA4D9C5" w:rsidR="004D1CE1" w:rsidRPr="004D1CE1" w:rsidRDefault="004D1CE1">
      <w:pPr>
        <w:pStyle w:val="ListParagraph"/>
        <w:numPr>
          <w:ilvl w:val="0"/>
          <w:numId w:val="4"/>
        </w:numPr>
        <w:ind w:left="567" w:hanging="567"/>
        <w:rPr>
          <w:lang w:bidi="ar-EG"/>
        </w:rPr>
      </w:pPr>
      <w:r w:rsidRPr="004D1CE1">
        <w:rPr>
          <w:rFonts w:eastAsiaTheme="minorHAnsi" w:hint="cs"/>
          <w:b/>
          <w:bCs/>
          <w:color w:val="000000"/>
          <w:kern w:val="0"/>
          <w:rtl/>
        </w:rPr>
        <w:t>النفس المطمئنة:</w:t>
      </w:r>
      <w:r>
        <w:rPr>
          <w:rFonts w:eastAsiaTheme="minorHAnsi" w:hint="cs"/>
          <w:color w:val="000000"/>
          <w:kern w:val="0"/>
          <w:rtl/>
        </w:rPr>
        <w:t xml:space="preserve"> وقال عنها: </w:t>
      </w:r>
      <w:r>
        <w:rPr>
          <w:rFonts w:ascii="QCF2BSML" w:eastAsiaTheme="minorHAnsi" w:hAnsi="QCF2BSML" w:cs="QCF2BSML"/>
          <w:color w:val="000000"/>
          <w:kern w:val="0"/>
          <w:sz w:val="26"/>
          <w:szCs w:val="26"/>
          <w:rtl/>
        </w:rPr>
        <w:t>ﱵﭐ</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ﱜ</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ﱝ</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ﱞ</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ﱟ</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ﱠ</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ﱡ</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ﱢ</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ﱣ</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ﱤ</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ﱥ</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ﱦ</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ﱧ</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ﱨ</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ﱩ</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ﱪ</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ﱫ</w:t>
      </w:r>
      <w:r>
        <w:rPr>
          <w:rFonts w:ascii="QCF2594" w:eastAsiaTheme="minorHAnsi" w:hAnsi="QCF2594" w:cs="QCF2594"/>
          <w:color w:val="000000"/>
          <w:kern w:val="0"/>
          <w:sz w:val="2"/>
          <w:szCs w:val="2"/>
          <w:rtl/>
        </w:rPr>
        <w:t xml:space="preserve"> </w:t>
      </w:r>
      <w:r>
        <w:rPr>
          <w:rFonts w:ascii="QCF2594" w:eastAsiaTheme="minorHAnsi" w:hAnsi="QCF2594" w:cs="QCF2594"/>
          <w:color w:val="000000"/>
          <w:kern w:val="0"/>
          <w:sz w:val="26"/>
          <w:szCs w:val="26"/>
          <w:rtl/>
        </w:rPr>
        <w:t>ﱬ</w:t>
      </w:r>
      <w:r>
        <w:rPr>
          <w:rFonts w:ascii="QCF2594" w:eastAsiaTheme="minorHAnsi" w:hAnsi="QCF2594" w:cs="QCF2594"/>
          <w:color w:val="000000"/>
          <w:kern w:val="0"/>
          <w:sz w:val="2"/>
          <w:szCs w:val="2"/>
          <w:rtl/>
        </w:rPr>
        <w:t xml:space="preserve">  </w:t>
      </w:r>
      <w:r>
        <w:rPr>
          <w:rFonts w:ascii="QCF2BSML" w:eastAsiaTheme="minorHAnsi" w:hAnsi="QCF2BSML" w:cs="QCF2BSML"/>
          <w:color w:val="000000"/>
          <w:kern w:val="0"/>
          <w:sz w:val="26"/>
          <w:szCs w:val="26"/>
          <w:rtl/>
        </w:rPr>
        <w:t>ﱴ</w:t>
      </w:r>
      <w:r>
        <w:rPr>
          <w:rFonts w:ascii="Arial" w:eastAsiaTheme="minorHAnsi" w:hAnsi="Arial" w:cs="Arial"/>
          <w:color w:val="000000"/>
          <w:kern w:val="0"/>
          <w:sz w:val="2"/>
          <w:szCs w:val="2"/>
        </w:rPr>
        <w:t xml:space="preserve"> </w:t>
      </w:r>
      <w:r>
        <w:rPr>
          <w:rFonts w:eastAsiaTheme="minorHAnsi" w:hint="cs"/>
          <w:color w:val="000000"/>
          <w:kern w:val="0"/>
          <w:rtl/>
        </w:rPr>
        <w:t xml:space="preserve"> </w:t>
      </w:r>
      <w:r w:rsidR="00691C9C">
        <w:rPr>
          <w:rFonts w:eastAsiaTheme="minorHAnsi" w:hint="cs"/>
          <w:color w:val="000000"/>
          <w:kern w:val="0"/>
          <w:rtl/>
        </w:rPr>
        <w:t>[</w:t>
      </w:r>
      <w:r>
        <w:rPr>
          <w:rFonts w:eastAsiaTheme="minorHAnsi" w:hint="cs"/>
          <w:color w:val="000000"/>
          <w:kern w:val="0"/>
          <w:rtl/>
        </w:rPr>
        <w:t>الآيات من 27 إلى 30 من سورة الفجر</w:t>
      </w:r>
      <w:r w:rsidR="00691C9C">
        <w:rPr>
          <w:rFonts w:eastAsiaTheme="minorHAnsi" w:hint="cs"/>
          <w:color w:val="000000"/>
          <w:kern w:val="0"/>
          <w:rtl/>
        </w:rPr>
        <w:t>]</w:t>
      </w:r>
      <w:r>
        <w:rPr>
          <w:rFonts w:eastAsiaTheme="minorHAnsi" w:hint="cs"/>
          <w:color w:val="000000"/>
          <w:kern w:val="0"/>
          <w:rtl/>
        </w:rPr>
        <w:t>.</w:t>
      </w:r>
    </w:p>
    <w:p w14:paraId="1ABF218C" w14:textId="10812D8A" w:rsidR="004D1CE1" w:rsidRPr="004D1CE1" w:rsidRDefault="004D1CE1">
      <w:pPr>
        <w:pStyle w:val="ListParagraph"/>
        <w:numPr>
          <w:ilvl w:val="0"/>
          <w:numId w:val="4"/>
        </w:numPr>
        <w:ind w:left="567" w:hanging="567"/>
        <w:rPr>
          <w:lang w:bidi="ar-EG"/>
        </w:rPr>
      </w:pPr>
      <w:r w:rsidRPr="004D1CE1">
        <w:rPr>
          <w:rFonts w:eastAsiaTheme="minorHAnsi" w:hint="cs"/>
          <w:b/>
          <w:bCs/>
          <w:color w:val="000000"/>
          <w:kern w:val="0"/>
          <w:rtl/>
        </w:rPr>
        <w:t>النفس المجادلة:</w:t>
      </w:r>
      <w:r>
        <w:rPr>
          <w:rFonts w:eastAsiaTheme="minorHAnsi" w:hint="cs"/>
          <w:color w:val="000000"/>
          <w:kern w:val="0"/>
          <w:rtl/>
        </w:rPr>
        <w:t xml:space="preserve"> وقال عنها: </w:t>
      </w:r>
      <w:r>
        <w:rPr>
          <w:rFonts w:ascii="QCF2BSML" w:eastAsiaTheme="minorHAnsi" w:hAnsi="QCF2BSML" w:cs="QCF2BSML"/>
          <w:color w:val="000000"/>
          <w:kern w:val="0"/>
          <w:sz w:val="26"/>
          <w:szCs w:val="26"/>
          <w:rtl/>
        </w:rPr>
        <w:t>ﱵﭐ</w:t>
      </w:r>
      <w:r>
        <w:rPr>
          <w:rFonts w:ascii="QCF2280" w:eastAsiaTheme="minorHAnsi" w:hAnsi="QCF2280" w:cs="QCF2280"/>
          <w:color w:val="000000"/>
          <w:kern w:val="0"/>
          <w:sz w:val="2"/>
          <w:szCs w:val="2"/>
          <w:rtl/>
        </w:rPr>
        <w:t xml:space="preserve"> </w:t>
      </w:r>
      <w:r>
        <w:rPr>
          <w:rFonts w:ascii="QCF2280" w:eastAsiaTheme="minorHAnsi" w:hAnsi="QCF2280" w:cs="QCF2280"/>
          <w:color w:val="000000"/>
          <w:kern w:val="0"/>
          <w:sz w:val="26"/>
          <w:szCs w:val="26"/>
          <w:rtl/>
        </w:rPr>
        <w:t>ﱂ</w:t>
      </w:r>
      <w:r>
        <w:rPr>
          <w:rFonts w:ascii="QCF2280" w:eastAsiaTheme="minorHAnsi" w:hAnsi="QCF2280" w:cs="QCF2280"/>
          <w:color w:val="000000"/>
          <w:kern w:val="0"/>
          <w:sz w:val="2"/>
          <w:szCs w:val="2"/>
          <w:rtl/>
        </w:rPr>
        <w:t xml:space="preserve"> </w:t>
      </w:r>
      <w:r>
        <w:rPr>
          <w:rFonts w:ascii="QCF2280" w:eastAsiaTheme="minorHAnsi" w:hAnsi="QCF2280" w:cs="QCF2280"/>
          <w:color w:val="000000"/>
          <w:kern w:val="0"/>
          <w:sz w:val="26"/>
          <w:szCs w:val="26"/>
          <w:rtl/>
        </w:rPr>
        <w:t>ﱃ</w:t>
      </w:r>
      <w:r>
        <w:rPr>
          <w:rFonts w:ascii="QCF2280" w:eastAsiaTheme="minorHAnsi" w:hAnsi="QCF2280" w:cs="QCF2280"/>
          <w:color w:val="000000"/>
          <w:kern w:val="0"/>
          <w:sz w:val="2"/>
          <w:szCs w:val="2"/>
          <w:rtl/>
        </w:rPr>
        <w:t xml:space="preserve"> </w:t>
      </w:r>
      <w:r>
        <w:rPr>
          <w:rFonts w:ascii="QCF2280" w:eastAsiaTheme="minorHAnsi" w:hAnsi="QCF2280" w:cs="QCF2280"/>
          <w:color w:val="000000"/>
          <w:kern w:val="0"/>
          <w:sz w:val="26"/>
          <w:szCs w:val="26"/>
          <w:rtl/>
        </w:rPr>
        <w:t>ﱄ</w:t>
      </w:r>
      <w:r>
        <w:rPr>
          <w:rFonts w:ascii="QCF2280" w:eastAsiaTheme="minorHAnsi" w:hAnsi="QCF2280" w:cs="QCF2280"/>
          <w:color w:val="000000"/>
          <w:kern w:val="0"/>
          <w:sz w:val="2"/>
          <w:szCs w:val="2"/>
          <w:rtl/>
        </w:rPr>
        <w:t xml:space="preserve"> </w:t>
      </w:r>
      <w:r>
        <w:rPr>
          <w:rFonts w:ascii="QCF2280" w:eastAsiaTheme="minorHAnsi" w:hAnsi="QCF2280" w:cs="QCF2280"/>
          <w:color w:val="000000"/>
          <w:kern w:val="0"/>
          <w:sz w:val="26"/>
          <w:szCs w:val="26"/>
          <w:rtl/>
        </w:rPr>
        <w:t>ﱅ</w:t>
      </w:r>
      <w:r>
        <w:rPr>
          <w:rFonts w:ascii="QCF2280" w:eastAsiaTheme="minorHAnsi" w:hAnsi="QCF2280" w:cs="QCF2280"/>
          <w:color w:val="000000"/>
          <w:kern w:val="0"/>
          <w:sz w:val="2"/>
          <w:szCs w:val="2"/>
          <w:rtl/>
        </w:rPr>
        <w:t xml:space="preserve"> </w:t>
      </w:r>
      <w:r>
        <w:rPr>
          <w:rFonts w:ascii="QCF2280" w:eastAsiaTheme="minorHAnsi" w:hAnsi="QCF2280" w:cs="QCF2280"/>
          <w:color w:val="000000"/>
          <w:kern w:val="0"/>
          <w:sz w:val="26"/>
          <w:szCs w:val="26"/>
          <w:rtl/>
        </w:rPr>
        <w:t>ﱆ</w:t>
      </w:r>
      <w:r>
        <w:rPr>
          <w:rFonts w:ascii="QCF2280" w:eastAsiaTheme="minorHAnsi" w:hAnsi="QCF2280" w:cs="QCF2280"/>
          <w:color w:val="000000"/>
          <w:kern w:val="0"/>
          <w:sz w:val="2"/>
          <w:szCs w:val="2"/>
          <w:rtl/>
        </w:rPr>
        <w:t xml:space="preserve"> </w:t>
      </w:r>
      <w:r>
        <w:rPr>
          <w:rFonts w:ascii="QCF2280" w:eastAsiaTheme="minorHAnsi" w:hAnsi="QCF2280" w:cs="QCF2280"/>
          <w:color w:val="000000"/>
          <w:kern w:val="0"/>
          <w:sz w:val="26"/>
          <w:szCs w:val="26"/>
          <w:rtl/>
        </w:rPr>
        <w:t>ﱇ</w:t>
      </w:r>
      <w:r>
        <w:rPr>
          <w:rFonts w:ascii="QCF2280" w:eastAsiaTheme="minorHAnsi" w:hAnsi="QCF2280" w:cs="QCF2280"/>
          <w:color w:val="000000"/>
          <w:kern w:val="0"/>
          <w:sz w:val="2"/>
          <w:szCs w:val="2"/>
          <w:rtl/>
        </w:rPr>
        <w:t xml:space="preserve"> </w:t>
      </w:r>
      <w:r>
        <w:rPr>
          <w:rFonts w:ascii="QCF2280" w:eastAsiaTheme="minorHAnsi" w:hAnsi="QCF2280" w:cs="QCF2280"/>
          <w:color w:val="000000"/>
          <w:kern w:val="0"/>
          <w:sz w:val="26"/>
          <w:szCs w:val="26"/>
          <w:rtl/>
        </w:rPr>
        <w:t>ﱈ</w:t>
      </w:r>
      <w:r>
        <w:rPr>
          <w:rFonts w:ascii="QCF2280" w:eastAsiaTheme="minorHAnsi" w:hAnsi="QCF2280" w:cs="QCF2280"/>
          <w:color w:val="000000"/>
          <w:kern w:val="0"/>
          <w:sz w:val="2"/>
          <w:szCs w:val="2"/>
          <w:rtl/>
        </w:rPr>
        <w:t xml:space="preserve"> </w:t>
      </w:r>
      <w:r>
        <w:rPr>
          <w:rFonts w:ascii="QCF2BSML" w:eastAsiaTheme="minorHAnsi" w:hAnsi="QCF2BSML" w:cs="QCF2BSML"/>
          <w:color w:val="000000"/>
          <w:kern w:val="0"/>
          <w:sz w:val="26"/>
          <w:szCs w:val="26"/>
          <w:rtl/>
        </w:rPr>
        <w:t>ﱴ</w:t>
      </w:r>
      <w:r>
        <w:rPr>
          <w:rFonts w:ascii="Arial" w:eastAsiaTheme="minorHAnsi" w:hAnsi="Arial" w:cs="Arial"/>
          <w:color w:val="000000"/>
          <w:kern w:val="0"/>
          <w:sz w:val="2"/>
          <w:szCs w:val="2"/>
        </w:rPr>
        <w:t xml:space="preserve"> </w:t>
      </w:r>
      <w:r>
        <w:rPr>
          <w:rFonts w:eastAsiaTheme="minorHAnsi" w:hint="cs"/>
          <w:color w:val="000000"/>
          <w:kern w:val="0"/>
          <w:rtl/>
        </w:rPr>
        <w:t xml:space="preserve"> </w:t>
      </w:r>
      <w:r w:rsidR="00691C9C">
        <w:rPr>
          <w:rFonts w:eastAsiaTheme="minorHAnsi" w:hint="cs"/>
          <w:color w:val="000000"/>
          <w:kern w:val="0"/>
          <w:rtl/>
        </w:rPr>
        <w:t>[</w:t>
      </w:r>
      <w:r>
        <w:rPr>
          <w:rFonts w:eastAsiaTheme="minorHAnsi" w:hint="cs"/>
          <w:color w:val="000000"/>
          <w:kern w:val="0"/>
          <w:rtl/>
        </w:rPr>
        <w:t>الآية رقم 111 من سورة النحل</w:t>
      </w:r>
      <w:r w:rsidR="00691C9C">
        <w:rPr>
          <w:rFonts w:eastAsiaTheme="minorHAnsi" w:hint="cs"/>
          <w:color w:val="000000"/>
          <w:kern w:val="0"/>
          <w:rtl/>
        </w:rPr>
        <w:t>]</w:t>
      </w:r>
      <w:r>
        <w:rPr>
          <w:rFonts w:eastAsiaTheme="minorHAnsi" w:hint="cs"/>
          <w:color w:val="000000"/>
          <w:kern w:val="0"/>
          <w:rtl/>
        </w:rPr>
        <w:t>.</w:t>
      </w:r>
    </w:p>
    <w:p w14:paraId="770DB7B9" w14:textId="1DA44041" w:rsidR="004D1CE1" w:rsidRDefault="004D1CE1">
      <w:pPr>
        <w:pStyle w:val="ListParagraph"/>
        <w:numPr>
          <w:ilvl w:val="0"/>
          <w:numId w:val="4"/>
        </w:numPr>
        <w:ind w:left="567" w:hanging="567"/>
        <w:rPr>
          <w:lang w:bidi="ar-EG"/>
        </w:rPr>
      </w:pPr>
      <w:r>
        <w:rPr>
          <w:rFonts w:eastAsiaTheme="minorHAnsi" w:hint="cs"/>
          <w:b/>
          <w:bCs/>
          <w:color w:val="000000"/>
          <w:kern w:val="0"/>
          <w:rtl/>
        </w:rPr>
        <w:t>النفس الشحيحة:</w:t>
      </w:r>
      <w:r>
        <w:rPr>
          <w:rFonts w:hint="cs"/>
          <w:rtl/>
          <w:lang w:bidi="ar-EG"/>
        </w:rPr>
        <w:t xml:space="preserve"> وقال عنها: </w:t>
      </w:r>
      <w:r>
        <w:rPr>
          <w:rFonts w:ascii="QCF2BSML" w:eastAsiaTheme="minorHAnsi" w:hAnsi="QCF2BSML" w:cs="QCF2BSML"/>
          <w:color w:val="000000"/>
          <w:kern w:val="0"/>
          <w:sz w:val="26"/>
          <w:szCs w:val="26"/>
          <w:rtl/>
        </w:rPr>
        <w:t>ﱵﭐ</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ﳎ</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ﳏ</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ﳐ</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ﳑ</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ﳒ</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ﳓ</w:t>
      </w:r>
      <w:r>
        <w:rPr>
          <w:rFonts w:ascii="QCF2546" w:eastAsiaTheme="minorHAnsi" w:hAnsi="QCF2546" w:cs="QCF2546"/>
          <w:color w:val="000000"/>
          <w:kern w:val="0"/>
          <w:sz w:val="2"/>
          <w:szCs w:val="2"/>
          <w:rtl/>
        </w:rPr>
        <w:t xml:space="preserve"> </w:t>
      </w:r>
      <w:r>
        <w:rPr>
          <w:rFonts w:ascii="QCF2546" w:eastAsiaTheme="minorHAnsi" w:hAnsi="QCF2546" w:cs="QCF2546"/>
          <w:color w:val="000000"/>
          <w:kern w:val="0"/>
          <w:sz w:val="26"/>
          <w:szCs w:val="26"/>
          <w:rtl/>
        </w:rPr>
        <w:t>ﳔ</w:t>
      </w:r>
      <w:r>
        <w:rPr>
          <w:rFonts w:ascii="QCF2BSML" w:eastAsiaTheme="minorHAnsi" w:hAnsi="QCF2BSML" w:cs="QCF2BSML"/>
          <w:color w:val="000000"/>
          <w:kern w:val="0"/>
          <w:sz w:val="26"/>
          <w:szCs w:val="26"/>
          <w:rtl/>
        </w:rPr>
        <w:t>ﱴ</w:t>
      </w:r>
      <w:r>
        <w:rPr>
          <w:rFonts w:ascii="Arial" w:eastAsiaTheme="minorHAnsi" w:hAnsi="Arial" w:cs="Arial"/>
          <w:color w:val="000000"/>
          <w:kern w:val="0"/>
          <w:sz w:val="2"/>
          <w:szCs w:val="2"/>
        </w:rPr>
        <w:t xml:space="preserve"> </w:t>
      </w:r>
      <w:r>
        <w:rPr>
          <w:rFonts w:hint="cs"/>
          <w:rtl/>
          <w:lang w:bidi="ar-EG"/>
        </w:rPr>
        <w:t xml:space="preserve"> </w:t>
      </w:r>
      <w:r w:rsidR="00691C9C">
        <w:rPr>
          <w:rFonts w:hint="cs"/>
          <w:rtl/>
          <w:lang w:bidi="ar-EG"/>
        </w:rPr>
        <w:t>[</w:t>
      </w:r>
      <w:r>
        <w:rPr>
          <w:rFonts w:hint="cs"/>
          <w:rtl/>
          <w:lang w:bidi="ar-EG"/>
        </w:rPr>
        <w:t>الآية رقم 9 من سورة الحشر</w:t>
      </w:r>
      <w:r w:rsidR="00691C9C">
        <w:rPr>
          <w:rFonts w:hint="cs"/>
          <w:rtl/>
          <w:lang w:bidi="ar-EG"/>
        </w:rPr>
        <w:t>]</w:t>
      </w:r>
      <w:r>
        <w:rPr>
          <w:rFonts w:hint="cs"/>
          <w:rtl/>
          <w:lang w:bidi="ar-EG"/>
        </w:rPr>
        <w:t>.</w:t>
      </w:r>
    </w:p>
    <w:p w14:paraId="1540D479" w14:textId="75E4E97F" w:rsidR="004D1CE1" w:rsidRDefault="004D1CE1">
      <w:pPr>
        <w:pStyle w:val="ListParagraph"/>
        <w:numPr>
          <w:ilvl w:val="0"/>
          <w:numId w:val="4"/>
        </w:numPr>
        <w:ind w:left="567" w:hanging="567"/>
        <w:rPr>
          <w:lang w:bidi="ar-EG"/>
        </w:rPr>
      </w:pPr>
      <w:r>
        <w:rPr>
          <w:rFonts w:eastAsiaTheme="minorHAnsi" w:hint="cs"/>
          <w:b/>
          <w:bCs/>
          <w:color w:val="000000"/>
          <w:kern w:val="0"/>
          <w:rtl/>
        </w:rPr>
        <w:t>النفس المظلومة:</w:t>
      </w:r>
      <w:r>
        <w:rPr>
          <w:rFonts w:hint="cs"/>
          <w:rtl/>
          <w:lang w:bidi="ar-EG"/>
        </w:rPr>
        <w:t xml:space="preserve"> وقال عنها: </w:t>
      </w:r>
      <w:r w:rsidR="00A912BF">
        <w:rPr>
          <w:rFonts w:ascii="QCF2BSML" w:eastAsiaTheme="minorHAnsi" w:hAnsi="QCF2BSML" w:cs="QCF2BSML"/>
          <w:color w:val="000000"/>
          <w:kern w:val="0"/>
          <w:sz w:val="26"/>
          <w:szCs w:val="26"/>
          <w:rtl/>
        </w:rPr>
        <w:t>ﱵﭐ</w:t>
      </w:r>
      <w:r w:rsidR="00A912BF">
        <w:rPr>
          <w:rFonts w:ascii="QCF2037" w:eastAsiaTheme="minorHAnsi" w:hAnsi="QCF2037" w:cs="QCF2037"/>
          <w:color w:val="000000"/>
          <w:kern w:val="0"/>
          <w:sz w:val="2"/>
          <w:szCs w:val="2"/>
          <w:rtl/>
        </w:rPr>
        <w:t xml:space="preserve"> </w:t>
      </w:r>
      <w:r w:rsidR="00A912BF">
        <w:rPr>
          <w:rFonts w:ascii="QCF2037" w:eastAsiaTheme="minorHAnsi" w:hAnsi="QCF2037" w:cs="QCF2037"/>
          <w:color w:val="000000"/>
          <w:kern w:val="0"/>
          <w:sz w:val="26"/>
          <w:szCs w:val="26"/>
          <w:rtl/>
        </w:rPr>
        <w:t>ﱑ</w:t>
      </w:r>
      <w:r w:rsidR="00A912BF">
        <w:rPr>
          <w:rFonts w:ascii="QCF2037" w:eastAsiaTheme="minorHAnsi" w:hAnsi="QCF2037" w:cs="QCF2037"/>
          <w:color w:val="000000"/>
          <w:kern w:val="0"/>
          <w:sz w:val="2"/>
          <w:szCs w:val="2"/>
          <w:rtl/>
        </w:rPr>
        <w:t xml:space="preserve"> </w:t>
      </w:r>
      <w:r w:rsidR="00A912BF">
        <w:rPr>
          <w:rFonts w:ascii="QCF2037" w:eastAsiaTheme="minorHAnsi" w:hAnsi="QCF2037" w:cs="QCF2037"/>
          <w:color w:val="000000"/>
          <w:kern w:val="0"/>
          <w:sz w:val="26"/>
          <w:szCs w:val="26"/>
          <w:rtl/>
        </w:rPr>
        <w:t>ﱒ</w:t>
      </w:r>
      <w:r w:rsidR="00A912BF">
        <w:rPr>
          <w:rFonts w:ascii="QCF2037" w:eastAsiaTheme="minorHAnsi" w:hAnsi="QCF2037" w:cs="QCF2037"/>
          <w:color w:val="000000"/>
          <w:kern w:val="0"/>
          <w:sz w:val="2"/>
          <w:szCs w:val="2"/>
          <w:rtl/>
        </w:rPr>
        <w:t xml:space="preserve">  </w:t>
      </w:r>
      <w:r w:rsidR="00A912BF">
        <w:rPr>
          <w:rFonts w:ascii="QCF2037" w:eastAsiaTheme="minorHAnsi" w:hAnsi="QCF2037" w:cs="QCF2037"/>
          <w:color w:val="000000"/>
          <w:kern w:val="0"/>
          <w:sz w:val="26"/>
          <w:szCs w:val="26"/>
          <w:rtl/>
        </w:rPr>
        <w:t>ﱓ</w:t>
      </w:r>
      <w:r w:rsidR="00A912BF">
        <w:rPr>
          <w:rFonts w:ascii="QCF2037" w:eastAsiaTheme="minorHAnsi" w:hAnsi="QCF2037" w:cs="QCF2037"/>
          <w:color w:val="000000"/>
          <w:kern w:val="0"/>
          <w:sz w:val="2"/>
          <w:szCs w:val="2"/>
          <w:rtl/>
        </w:rPr>
        <w:t xml:space="preserve"> </w:t>
      </w:r>
      <w:r w:rsidR="00A912BF">
        <w:rPr>
          <w:rFonts w:ascii="QCF2037" w:eastAsiaTheme="minorHAnsi" w:hAnsi="QCF2037" w:cs="QCF2037"/>
          <w:color w:val="000000"/>
          <w:kern w:val="0"/>
          <w:sz w:val="26"/>
          <w:szCs w:val="26"/>
          <w:rtl/>
        </w:rPr>
        <w:t>ﱔ</w:t>
      </w:r>
      <w:r w:rsidR="00A912BF">
        <w:rPr>
          <w:rFonts w:ascii="QCF2037" w:eastAsiaTheme="minorHAnsi" w:hAnsi="QCF2037" w:cs="QCF2037"/>
          <w:color w:val="000000"/>
          <w:kern w:val="0"/>
          <w:sz w:val="2"/>
          <w:szCs w:val="2"/>
          <w:rtl/>
        </w:rPr>
        <w:t xml:space="preserve"> </w:t>
      </w:r>
      <w:r w:rsidR="00A912BF">
        <w:rPr>
          <w:rFonts w:ascii="QCF2037" w:eastAsiaTheme="minorHAnsi" w:hAnsi="QCF2037" w:cs="QCF2037"/>
          <w:color w:val="000000"/>
          <w:kern w:val="0"/>
          <w:sz w:val="26"/>
          <w:szCs w:val="26"/>
          <w:rtl/>
        </w:rPr>
        <w:t>ﱕ</w:t>
      </w:r>
      <w:r w:rsidR="00A912BF">
        <w:rPr>
          <w:rFonts w:ascii="QCF2037" w:eastAsiaTheme="minorHAnsi" w:hAnsi="QCF2037" w:cs="QCF2037"/>
          <w:color w:val="000000"/>
          <w:kern w:val="0"/>
          <w:sz w:val="2"/>
          <w:szCs w:val="2"/>
          <w:rtl/>
        </w:rPr>
        <w:t xml:space="preserve"> </w:t>
      </w:r>
      <w:r w:rsidR="00A912BF">
        <w:rPr>
          <w:rFonts w:ascii="QCF2037" w:eastAsiaTheme="minorHAnsi" w:hAnsi="QCF2037" w:cs="QCF2037"/>
          <w:color w:val="000000"/>
          <w:kern w:val="0"/>
          <w:sz w:val="26"/>
          <w:szCs w:val="26"/>
          <w:rtl/>
        </w:rPr>
        <w:t>ﱖﱗ</w:t>
      </w:r>
      <w:r w:rsidR="00A912BF">
        <w:rPr>
          <w:rFonts w:ascii="QCF2037" w:eastAsiaTheme="minorHAnsi" w:hAnsi="QCF2037" w:cs="QCF2037"/>
          <w:color w:val="000000"/>
          <w:kern w:val="0"/>
          <w:sz w:val="2"/>
          <w:szCs w:val="2"/>
          <w:rtl/>
        </w:rPr>
        <w:t xml:space="preserve"> </w:t>
      </w:r>
      <w:r w:rsidR="00A912BF">
        <w:rPr>
          <w:rFonts w:ascii="QCF2BSML" w:eastAsiaTheme="minorHAnsi" w:hAnsi="QCF2BSML" w:cs="QCF2BSML"/>
          <w:color w:val="000000"/>
          <w:kern w:val="0"/>
          <w:sz w:val="26"/>
          <w:szCs w:val="26"/>
          <w:rtl/>
        </w:rPr>
        <w:t>ﱴ</w:t>
      </w:r>
      <w:r w:rsidR="00A912BF">
        <w:rPr>
          <w:rFonts w:ascii="Arial" w:eastAsiaTheme="minorHAnsi" w:hAnsi="Arial" w:cs="Arial"/>
          <w:color w:val="000000"/>
          <w:kern w:val="0"/>
          <w:sz w:val="2"/>
          <w:szCs w:val="2"/>
        </w:rPr>
        <w:t xml:space="preserve"> </w:t>
      </w:r>
      <w:r>
        <w:rPr>
          <w:rFonts w:hint="cs"/>
          <w:rtl/>
          <w:lang w:bidi="ar-EG"/>
        </w:rPr>
        <w:t xml:space="preserve"> </w:t>
      </w:r>
      <w:r w:rsidR="00691C9C">
        <w:rPr>
          <w:rFonts w:hint="cs"/>
          <w:rtl/>
          <w:lang w:bidi="ar-EG"/>
        </w:rPr>
        <w:t>[</w:t>
      </w:r>
      <w:r w:rsidR="00A912BF">
        <w:rPr>
          <w:rFonts w:hint="cs"/>
          <w:rtl/>
          <w:lang w:bidi="ar-EG"/>
        </w:rPr>
        <w:t>الآية رقم 231 من سورة البقرة</w:t>
      </w:r>
      <w:r w:rsidR="00691C9C">
        <w:rPr>
          <w:rFonts w:hint="cs"/>
          <w:rtl/>
          <w:lang w:bidi="ar-EG"/>
        </w:rPr>
        <w:t>]</w:t>
      </w:r>
      <w:r w:rsidR="00A912BF">
        <w:rPr>
          <w:rFonts w:hint="cs"/>
          <w:rtl/>
          <w:lang w:bidi="ar-EG"/>
        </w:rPr>
        <w:t>.</w:t>
      </w:r>
    </w:p>
    <w:p w14:paraId="161F2D44" w14:textId="05DF17BA" w:rsidR="00A912BF" w:rsidRDefault="00A912BF">
      <w:pPr>
        <w:pStyle w:val="ListParagraph"/>
        <w:numPr>
          <w:ilvl w:val="0"/>
          <w:numId w:val="4"/>
        </w:numPr>
        <w:ind w:left="567" w:hanging="567"/>
        <w:rPr>
          <w:lang w:bidi="ar-EG"/>
        </w:rPr>
      </w:pPr>
      <w:r>
        <w:rPr>
          <w:rFonts w:eastAsiaTheme="minorHAnsi" w:hint="cs"/>
          <w:b/>
          <w:bCs/>
          <w:color w:val="000000"/>
          <w:kern w:val="0"/>
          <w:rtl/>
        </w:rPr>
        <w:t>النفس المتكبّرة:</w:t>
      </w:r>
      <w:r>
        <w:rPr>
          <w:rFonts w:hint="cs"/>
          <w:rtl/>
          <w:lang w:bidi="ar-EG"/>
        </w:rPr>
        <w:t xml:space="preserve"> وقال عنها: </w:t>
      </w:r>
      <w:r>
        <w:rPr>
          <w:rFonts w:ascii="QCF2BSML" w:eastAsiaTheme="minorHAnsi" w:hAnsi="QCF2BSML" w:cs="QCF2BSML"/>
          <w:color w:val="000000"/>
          <w:kern w:val="0"/>
          <w:sz w:val="26"/>
          <w:szCs w:val="26"/>
          <w:rtl/>
        </w:rPr>
        <w:t>ﱵﭐ</w:t>
      </w:r>
      <w:r>
        <w:rPr>
          <w:rFonts w:ascii="QCF2362" w:eastAsiaTheme="minorHAnsi" w:hAnsi="QCF2362" w:cs="QCF2362"/>
          <w:color w:val="000000"/>
          <w:kern w:val="0"/>
          <w:sz w:val="2"/>
          <w:szCs w:val="2"/>
          <w:rtl/>
        </w:rPr>
        <w:t xml:space="preserve"> </w:t>
      </w:r>
      <w:r>
        <w:rPr>
          <w:rFonts w:ascii="QCF2362" w:eastAsiaTheme="minorHAnsi" w:hAnsi="QCF2362" w:cs="QCF2362"/>
          <w:color w:val="000000"/>
          <w:kern w:val="0"/>
          <w:sz w:val="26"/>
          <w:szCs w:val="26"/>
          <w:rtl/>
        </w:rPr>
        <w:t>ﱏ</w:t>
      </w:r>
      <w:r>
        <w:rPr>
          <w:rFonts w:ascii="QCF2362" w:eastAsiaTheme="minorHAnsi" w:hAnsi="QCF2362" w:cs="QCF2362"/>
          <w:color w:val="000000"/>
          <w:kern w:val="0"/>
          <w:sz w:val="2"/>
          <w:szCs w:val="2"/>
          <w:rtl/>
        </w:rPr>
        <w:t xml:space="preserve"> </w:t>
      </w:r>
      <w:r>
        <w:rPr>
          <w:rFonts w:ascii="QCF2362" w:eastAsiaTheme="minorHAnsi" w:hAnsi="QCF2362" w:cs="QCF2362"/>
          <w:color w:val="000000"/>
          <w:kern w:val="0"/>
          <w:sz w:val="26"/>
          <w:szCs w:val="26"/>
          <w:rtl/>
        </w:rPr>
        <w:t>ﱐ</w:t>
      </w:r>
      <w:r>
        <w:rPr>
          <w:rFonts w:ascii="QCF2362" w:eastAsiaTheme="minorHAnsi" w:hAnsi="QCF2362" w:cs="QCF2362"/>
          <w:color w:val="000000"/>
          <w:kern w:val="0"/>
          <w:sz w:val="2"/>
          <w:szCs w:val="2"/>
          <w:rtl/>
        </w:rPr>
        <w:t xml:space="preserve"> </w:t>
      </w:r>
      <w:r>
        <w:rPr>
          <w:rFonts w:ascii="QCF2362" w:eastAsiaTheme="minorHAnsi" w:hAnsi="QCF2362" w:cs="QCF2362"/>
          <w:color w:val="000000"/>
          <w:kern w:val="0"/>
          <w:sz w:val="26"/>
          <w:szCs w:val="26"/>
          <w:rtl/>
        </w:rPr>
        <w:t>ﱑ</w:t>
      </w:r>
      <w:r>
        <w:rPr>
          <w:rFonts w:ascii="QCF2362" w:eastAsiaTheme="minorHAnsi" w:hAnsi="QCF2362" w:cs="QCF2362"/>
          <w:color w:val="000000"/>
          <w:kern w:val="0"/>
          <w:sz w:val="2"/>
          <w:szCs w:val="2"/>
          <w:rtl/>
        </w:rPr>
        <w:t xml:space="preserve"> </w:t>
      </w:r>
      <w:r>
        <w:rPr>
          <w:rFonts w:ascii="QCF2362" w:eastAsiaTheme="minorHAnsi" w:hAnsi="QCF2362" w:cs="QCF2362"/>
          <w:color w:val="000000"/>
          <w:kern w:val="0"/>
          <w:sz w:val="26"/>
          <w:szCs w:val="26"/>
          <w:rtl/>
        </w:rPr>
        <w:t>ﱒ</w:t>
      </w:r>
      <w:r>
        <w:rPr>
          <w:rFonts w:ascii="QCF2362" w:eastAsiaTheme="minorHAnsi" w:hAnsi="QCF2362" w:cs="QCF2362"/>
          <w:color w:val="000000"/>
          <w:kern w:val="0"/>
          <w:sz w:val="2"/>
          <w:szCs w:val="2"/>
          <w:rtl/>
        </w:rPr>
        <w:t xml:space="preserve"> </w:t>
      </w:r>
      <w:r>
        <w:rPr>
          <w:rFonts w:ascii="QCF2BSML" w:eastAsiaTheme="minorHAnsi" w:hAnsi="QCF2BSML" w:cs="QCF2BSML"/>
          <w:color w:val="000000"/>
          <w:kern w:val="0"/>
          <w:sz w:val="26"/>
          <w:szCs w:val="26"/>
          <w:rtl/>
        </w:rPr>
        <w:t>ﱴ</w:t>
      </w:r>
      <w:r>
        <w:rPr>
          <w:rFonts w:ascii="Arial" w:eastAsiaTheme="minorHAnsi" w:hAnsi="Arial" w:cs="Arial"/>
          <w:color w:val="000000"/>
          <w:kern w:val="0"/>
          <w:sz w:val="2"/>
          <w:szCs w:val="2"/>
        </w:rPr>
        <w:t xml:space="preserve"> </w:t>
      </w:r>
      <w:r>
        <w:rPr>
          <w:rFonts w:eastAsiaTheme="minorHAnsi" w:hint="cs"/>
          <w:color w:val="000000"/>
          <w:kern w:val="0"/>
          <w:sz w:val="2"/>
          <w:szCs w:val="2"/>
          <w:rtl/>
        </w:rPr>
        <w:t>ا</w:t>
      </w:r>
      <w:r>
        <w:rPr>
          <w:rFonts w:hint="cs"/>
          <w:rtl/>
          <w:lang w:bidi="ar-EG"/>
        </w:rPr>
        <w:t xml:space="preserve">  </w:t>
      </w:r>
      <w:r w:rsidR="00691C9C">
        <w:rPr>
          <w:rFonts w:hint="cs"/>
          <w:rtl/>
          <w:lang w:bidi="ar-EG"/>
        </w:rPr>
        <w:t>[</w:t>
      </w:r>
      <w:r>
        <w:rPr>
          <w:rFonts w:hint="cs"/>
          <w:rtl/>
          <w:lang w:bidi="ar-EG"/>
        </w:rPr>
        <w:t>الآية رقم 21 من سورة الفرقان</w:t>
      </w:r>
      <w:r w:rsidR="00691C9C">
        <w:rPr>
          <w:rFonts w:hint="cs"/>
          <w:rtl/>
          <w:lang w:bidi="ar-EG"/>
        </w:rPr>
        <w:t>]</w:t>
      </w:r>
      <w:r>
        <w:rPr>
          <w:rFonts w:hint="cs"/>
          <w:rtl/>
          <w:lang w:bidi="ar-EG"/>
        </w:rPr>
        <w:t>.</w:t>
      </w:r>
    </w:p>
    <w:p w14:paraId="2CB7BDF8" w14:textId="51325584" w:rsidR="00A912BF" w:rsidRDefault="00A912BF" w:rsidP="00A912BF">
      <w:pPr>
        <w:pStyle w:val="Heading2"/>
        <w:rPr>
          <w:rtl/>
          <w:lang w:bidi="ar-EG"/>
        </w:rPr>
      </w:pPr>
      <w:r>
        <w:rPr>
          <w:rFonts w:hint="cs"/>
          <w:rtl/>
          <w:lang w:bidi="ar-EG"/>
        </w:rPr>
        <w:t>منازل النفس: قال أحد الصالحين:</w:t>
      </w:r>
    </w:p>
    <w:p w14:paraId="237928AD" w14:textId="4E2B6327" w:rsidR="00A912BF" w:rsidRDefault="00A912BF" w:rsidP="00A912BF">
      <w:pPr>
        <w:rPr>
          <w:rtl/>
          <w:lang w:bidi="ar-EG"/>
        </w:rPr>
      </w:pPr>
      <w:r>
        <w:rPr>
          <w:rFonts w:hint="cs"/>
          <w:rtl/>
          <w:lang w:bidi="ar-EG"/>
        </w:rPr>
        <w:t>النفس إذا سبحت في الدنيا، فقد عميت عن الآخرة، فإن عميت غفلت عن ذكر الله، فإن غفلت شردت عن الحق، فإن شردت بدأت في الشرّ وطلب الدنيا، فإن بدأت دأبت في الطلب، فإن دأبت نأت عن الخير</w:t>
      </w:r>
      <w:r w:rsidRPr="0046333C">
        <w:rPr>
          <w:rFonts w:hint="cs"/>
          <w:vertAlign w:val="superscript"/>
          <w:rtl/>
          <w:lang w:bidi="ar-EG"/>
        </w:rPr>
        <w:t>(</w:t>
      </w:r>
      <w:r w:rsidRPr="0046333C">
        <w:rPr>
          <w:vertAlign w:val="superscript"/>
          <w:rtl/>
        </w:rPr>
        <w:footnoteReference w:id="4"/>
      </w:r>
      <w:r w:rsidRPr="0046333C">
        <w:rPr>
          <w:rFonts w:hint="cs"/>
          <w:vertAlign w:val="superscript"/>
          <w:rtl/>
          <w:lang w:bidi="ar-EG"/>
        </w:rPr>
        <w:t>)</w:t>
      </w:r>
      <w:r>
        <w:rPr>
          <w:rFonts w:hint="cs"/>
          <w:rtl/>
          <w:lang w:bidi="ar-EG"/>
        </w:rPr>
        <w:t>.</w:t>
      </w:r>
    </w:p>
    <w:p w14:paraId="4C458952" w14:textId="6B90D6D3" w:rsidR="00A912BF" w:rsidRDefault="00A912BF" w:rsidP="00A912BF">
      <w:pPr>
        <w:pStyle w:val="Heading2"/>
        <w:rPr>
          <w:rtl/>
          <w:lang w:bidi="ar-EG"/>
        </w:rPr>
      </w:pPr>
      <w:r>
        <w:rPr>
          <w:rFonts w:hint="cs"/>
          <w:rtl/>
          <w:lang w:bidi="ar-EG"/>
        </w:rPr>
        <w:t>النفس والإنسان في منظور القرآن:</w:t>
      </w:r>
    </w:p>
    <w:p w14:paraId="249EA58D" w14:textId="7FDC73D8" w:rsidR="00A912BF" w:rsidRDefault="00A912BF" w:rsidP="00A912BF">
      <w:pPr>
        <w:rPr>
          <w:rtl/>
          <w:lang w:bidi="ar-EG"/>
        </w:rPr>
      </w:pPr>
      <w:r>
        <w:rPr>
          <w:rFonts w:hint="cs"/>
          <w:rtl/>
          <w:lang w:bidi="ar-EG"/>
        </w:rPr>
        <w:t xml:space="preserve">كثيرًا ما يعبّر القرآن الكريم عن لفظة الإنسان بلفظة النفس، حيث يدل هذا التعبير على وجود ترادف في المعنى بين الإنسان والنفس والذات الإنسانية، وقد جاء هذا </w:t>
      </w:r>
      <w:r>
        <w:rPr>
          <w:rFonts w:hint="cs"/>
          <w:rtl/>
          <w:lang w:bidi="ar-EG"/>
        </w:rPr>
        <w:lastRenderedPageBreak/>
        <w:t>التعبير في زهاء خمس وتسعين ومائتي آية من آيات القرآن الكريم</w:t>
      </w:r>
      <w:r w:rsidRPr="0046333C">
        <w:rPr>
          <w:rFonts w:hint="cs"/>
          <w:vertAlign w:val="superscript"/>
          <w:rtl/>
          <w:lang w:bidi="ar-EG"/>
        </w:rPr>
        <w:t>(</w:t>
      </w:r>
      <w:r w:rsidRPr="0046333C">
        <w:rPr>
          <w:vertAlign w:val="superscript"/>
          <w:rtl/>
        </w:rPr>
        <w:footnoteReference w:id="5"/>
      </w:r>
      <w:r w:rsidRPr="0046333C">
        <w:rPr>
          <w:rFonts w:hint="cs"/>
          <w:vertAlign w:val="superscript"/>
          <w:rtl/>
          <w:lang w:bidi="ar-EG"/>
        </w:rPr>
        <w:t>)</w:t>
      </w:r>
      <w:r>
        <w:rPr>
          <w:rFonts w:hint="cs"/>
          <w:rtl/>
          <w:lang w:bidi="ar-EG"/>
        </w:rPr>
        <w:t xml:space="preserve"> وفي جميع مشتقات كلمة نفس، والمتأمل في آيات القرآن الكريم التي تحدثت عن النفس يمكنه استنتاج النتائج التالية:</w:t>
      </w:r>
    </w:p>
    <w:p w14:paraId="26263C18" w14:textId="0782622A" w:rsidR="00A912BF" w:rsidRDefault="00A912BF">
      <w:pPr>
        <w:pStyle w:val="ListParagraph"/>
        <w:numPr>
          <w:ilvl w:val="0"/>
          <w:numId w:val="5"/>
        </w:numPr>
        <w:ind w:left="567" w:hanging="567"/>
        <w:rPr>
          <w:lang w:bidi="ar-EG"/>
        </w:rPr>
      </w:pPr>
      <w:r>
        <w:rPr>
          <w:rFonts w:hint="cs"/>
          <w:rtl/>
          <w:lang w:bidi="ar-EG"/>
        </w:rPr>
        <w:t>أنها جعلت النفس أو الذات الإنسانية مركبة من مجموعة من القوى والملكات والمواهب المتكاملة التي وهبها الله عز وجل للإنسان.</w:t>
      </w:r>
    </w:p>
    <w:p w14:paraId="0990298F" w14:textId="01154707" w:rsidR="00A912BF" w:rsidRDefault="00A912BF">
      <w:pPr>
        <w:pStyle w:val="ListParagraph"/>
        <w:numPr>
          <w:ilvl w:val="0"/>
          <w:numId w:val="5"/>
        </w:numPr>
        <w:ind w:left="567" w:hanging="567"/>
        <w:rPr>
          <w:lang w:bidi="ar-EG"/>
        </w:rPr>
      </w:pPr>
      <w:r>
        <w:rPr>
          <w:rFonts w:hint="cs"/>
          <w:rtl/>
          <w:lang w:bidi="ar-EG"/>
        </w:rPr>
        <w:t>أنها نظرت إلى النفس أو الذات الإنسانية على أنها وحدة غير مجزّأة.</w:t>
      </w:r>
    </w:p>
    <w:p w14:paraId="7EFA2F86" w14:textId="2331D1D2" w:rsidR="00A912BF" w:rsidRDefault="00A912BF">
      <w:pPr>
        <w:pStyle w:val="ListParagraph"/>
        <w:numPr>
          <w:ilvl w:val="0"/>
          <w:numId w:val="5"/>
        </w:numPr>
        <w:ind w:left="567" w:hanging="567"/>
        <w:rPr>
          <w:lang w:bidi="ar-EG"/>
        </w:rPr>
      </w:pPr>
      <w:r>
        <w:rPr>
          <w:rFonts w:hint="cs"/>
          <w:rtl/>
          <w:lang w:bidi="ar-EG"/>
        </w:rPr>
        <w:t>أنها لم تعبّر عن النفس بالروح ولا بالعقل بما يدل على المغايرة بين هذه القوى الثلاثة (النفس والعقل والروح) وإن كان يجمعها جميعًا معنى واحد وهو أنها تعبير عن اللطيفة العالمة المدركة من الإنسان.</w:t>
      </w:r>
    </w:p>
    <w:p w14:paraId="4CD1FDED" w14:textId="02349A44" w:rsidR="00A912BF" w:rsidRDefault="00A912BF">
      <w:pPr>
        <w:pStyle w:val="ListParagraph"/>
        <w:numPr>
          <w:ilvl w:val="0"/>
          <w:numId w:val="5"/>
        </w:numPr>
        <w:ind w:left="567" w:hanging="567"/>
        <w:rPr>
          <w:lang w:bidi="ar-EG"/>
        </w:rPr>
      </w:pPr>
      <w:r>
        <w:rPr>
          <w:rFonts w:hint="cs"/>
          <w:rtl/>
          <w:lang w:bidi="ar-EG"/>
        </w:rPr>
        <w:t>حيث ورد في القرآن أو السنة لفظ النفس فالمراد به الذات الإنسانية أو الإنسان ذاته حيث لا يعلو على نفسه بعقله ولا يعلو على عقله بروحه، أي حين تتصل النفس بقوى الغرائز الحيوانية ودوافع الحياة الجسدية.</w:t>
      </w:r>
    </w:p>
    <w:p w14:paraId="4F7AB18A" w14:textId="5F77D42E" w:rsidR="00A912BF" w:rsidRDefault="00A912BF" w:rsidP="00A912BF">
      <w:pPr>
        <w:pStyle w:val="Heading2"/>
        <w:rPr>
          <w:rtl/>
          <w:lang w:bidi="ar-EG"/>
        </w:rPr>
      </w:pPr>
      <w:r>
        <w:rPr>
          <w:rFonts w:hint="cs"/>
          <w:rtl/>
          <w:lang w:bidi="ar-EG"/>
        </w:rPr>
        <w:t>هي النفس هي ذات الإنسان حال حياته فقط أو حال حياته وموته:</w:t>
      </w:r>
    </w:p>
    <w:p w14:paraId="78354BBA" w14:textId="25DA7C40" w:rsidR="00A912BF" w:rsidRDefault="00A912BF" w:rsidP="00A912BF">
      <w:pPr>
        <w:rPr>
          <w:rtl/>
          <w:lang w:bidi="ar-EG"/>
        </w:rPr>
      </w:pPr>
      <w:r>
        <w:rPr>
          <w:rFonts w:hint="cs"/>
          <w:rtl/>
          <w:lang w:bidi="ar-EG"/>
        </w:rPr>
        <w:t>تفيد آيات القرآن الكريم أن الذات الإنسانية، كما يطلق عليها لفظة النفس في الدنيا حال الحياة، فإنها يطلق عليها اللفظة نفسها بعد الموت. ومن هذه الآيات:</w:t>
      </w:r>
    </w:p>
    <w:p w14:paraId="4BB98AB7" w14:textId="6E311A16" w:rsidR="00A912BF" w:rsidRPr="001E1C5B" w:rsidRDefault="00A912BF">
      <w:pPr>
        <w:pStyle w:val="ListParagraph"/>
        <w:numPr>
          <w:ilvl w:val="0"/>
          <w:numId w:val="6"/>
        </w:numPr>
        <w:ind w:left="567" w:hanging="567"/>
        <w:rPr>
          <w:lang w:bidi="ar-EG"/>
        </w:rPr>
      </w:pPr>
      <w:r>
        <w:rPr>
          <w:rFonts w:hint="cs"/>
          <w:rtl/>
          <w:lang w:bidi="ar-EG"/>
        </w:rPr>
        <w:t>قوله تعالى:</w:t>
      </w:r>
      <w:r w:rsidR="001E1C5B">
        <w:rPr>
          <w:rFonts w:hint="cs"/>
          <w:rtl/>
          <w:lang w:bidi="ar-EG"/>
        </w:rPr>
        <w:t xml:space="preserve"> </w:t>
      </w:r>
      <w:r w:rsidR="001E1C5B">
        <w:rPr>
          <w:rFonts w:ascii="QCF2BSML" w:eastAsiaTheme="minorHAnsi" w:hAnsi="QCF2BSML" w:cs="QCF2BSML"/>
          <w:color w:val="000000"/>
          <w:kern w:val="0"/>
          <w:sz w:val="26"/>
          <w:szCs w:val="26"/>
          <w:rtl/>
        </w:rPr>
        <w:t>ﱵﭐ</w:t>
      </w:r>
      <w:r w:rsidR="001E1C5B">
        <w:rPr>
          <w:rFonts w:ascii="QCF2007" w:eastAsiaTheme="minorHAnsi" w:hAnsi="QCF2007" w:cs="QCF2007"/>
          <w:color w:val="000000"/>
          <w:kern w:val="0"/>
          <w:sz w:val="2"/>
          <w:szCs w:val="2"/>
          <w:rtl/>
        </w:rPr>
        <w:t xml:space="preserve"> </w:t>
      </w:r>
      <w:r w:rsidR="001E1C5B">
        <w:rPr>
          <w:rFonts w:ascii="QCF2007" w:eastAsiaTheme="minorHAnsi" w:hAnsi="QCF2007" w:cs="QCF2007"/>
          <w:color w:val="000000"/>
          <w:kern w:val="0"/>
          <w:sz w:val="26"/>
          <w:szCs w:val="26"/>
          <w:rtl/>
        </w:rPr>
        <w:t>ﲿ</w:t>
      </w:r>
      <w:r w:rsidR="001E1C5B">
        <w:rPr>
          <w:rFonts w:ascii="QCF2007" w:eastAsiaTheme="minorHAnsi" w:hAnsi="QCF2007" w:cs="QCF2007"/>
          <w:color w:val="000000"/>
          <w:kern w:val="0"/>
          <w:sz w:val="2"/>
          <w:szCs w:val="2"/>
          <w:rtl/>
        </w:rPr>
        <w:t xml:space="preserve"> </w:t>
      </w:r>
      <w:r w:rsidR="001E1C5B">
        <w:rPr>
          <w:rFonts w:ascii="QCF2007" w:eastAsiaTheme="minorHAnsi" w:hAnsi="QCF2007" w:cs="QCF2007"/>
          <w:color w:val="000000"/>
          <w:kern w:val="0"/>
          <w:sz w:val="26"/>
          <w:szCs w:val="26"/>
          <w:rtl/>
        </w:rPr>
        <w:t>ﳀ</w:t>
      </w:r>
      <w:r w:rsidR="001E1C5B">
        <w:rPr>
          <w:rFonts w:ascii="QCF2007" w:eastAsiaTheme="minorHAnsi" w:hAnsi="QCF2007" w:cs="QCF2007"/>
          <w:color w:val="000000"/>
          <w:kern w:val="0"/>
          <w:sz w:val="2"/>
          <w:szCs w:val="2"/>
          <w:rtl/>
        </w:rPr>
        <w:t xml:space="preserve"> </w:t>
      </w:r>
      <w:r w:rsidR="001E1C5B">
        <w:rPr>
          <w:rFonts w:ascii="QCF2007" w:eastAsiaTheme="minorHAnsi" w:hAnsi="QCF2007" w:cs="QCF2007"/>
          <w:color w:val="000000"/>
          <w:kern w:val="0"/>
          <w:sz w:val="26"/>
          <w:szCs w:val="26"/>
          <w:rtl/>
        </w:rPr>
        <w:t>ﳁ</w:t>
      </w:r>
      <w:r w:rsidR="001E1C5B">
        <w:rPr>
          <w:rFonts w:ascii="QCF2007" w:eastAsiaTheme="minorHAnsi" w:hAnsi="QCF2007" w:cs="QCF2007"/>
          <w:color w:val="000000"/>
          <w:kern w:val="0"/>
          <w:sz w:val="2"/>
          <w:szCs w:val="2"/>
          <w:rtl/>
        </w:rPr>
        <w:t xml:space="preserve"> </w:t>
      </w:r>
      <w:r w:rsidR="001E1C5B">
        <w:rPr>
          <w:rFonts w:ascii="QCF2007" w:eastAsiaTheme="minorHAnsi" w:hAnsi="QCF2007" w:cs="QCF2007"/>
          <w:color w:val="000000"/>
          <w:kern w:val="0"/>
          <w:sz w:val="26"/>
          <w:szCs w:val="26"/>
          <w:rtl/>
        </w:rPr>
        <w:t>ﳂ</w:t>
      </w:r>
      <w:r w:rsidR="001E1C5B">
        <w:rPr>
          <w:rFonts w:ascii="QCF2007" w:eastAsiaTheme="minorHAnsi" w:hAnsi="QCF2007" w:cs="QCF2007"/>
          <w:color w:val="000000"/>
          <w:kern w:val="0"/>
          <w:sz w:val="2"/>
          <w:szCs w:val="2"/>
          <w:rtl/>
        </w:rPr>
        <w:t xml:space="preserve"> </w:t>
      </w:r>
      <w:r w:rsidR="001E1C5B">
        <w:rPr>
          <w:rFonts w:ascii="QCF2007" w:eastAsiaTheme="minorHAnsi" w:hAnsi="QCF2007" w:cs="QCF2007"/>
          <w:color w:val="000000"/>
          <w:kern w:val="0"/>
          <w:sz w:val="26"/>
          <w:szCs w:val="26"/>
          <w:rtl/>
        </w:rPr>
        <w:t>ﳃ</w:t>
      </w:r>
      <w:r w:rsidR="001E1C5B">
        <w:rPr>
          <w:rFonts w:ascii="QCF2007" w:eastAsiaTheme="minorHAnsi" w:hAnsi="QCF2007" w:cs="QCF2007"/>
          <w:color w:val="000000"/>
          <w:kern w:val="0"/>
          <w:sz w:val="2"/>
          <w:szCs w:val="2"/>
          <w:rtl/>
        </w:rPr>
        <w:t xml:space="preserve"> </w:t>
      </w:r>
      <w:r w:rsidR="001E1C5B">
        <w:rPr>
          <w:rFonts w:ascii="QCF2007" w:eastAsiaTheme="minorHAnsi" w:hAnsi="QCF2007" w:cs="QCF2007"/>
          <w:color w:val="000000"/>
          <w:kern w:val="0"/>
          <w:sz w:val="26"/>
          <w:szCs w:val="26"/>
          <w:rtl/>
        </w:rPr>
        <w:t>ﳄ</w:t>
      </w:r>
      <w:r w:rsidR="001E1C5B">
        <w:rPr>
          <w:rFonts w:ascii="QCF2007" w:eastAsiaTheme="minorHAnsi" w:hAnsi="QCF2007" w:cs="QCF2007"/>
          <w:color w:val="000000"/>
          <w:kern w:val="0"/>
          <w:sz w:val="2"/>
          <w:szCs w:val="2"/>
          <w:rtl/>
        </w:rPr>
        <w:t xml:space="preserve"> </w:t>
      </w:r>
      <w:r w:rsidR="001E1C5B">
        <w:rPr>
          <w:rFonts w:ascii="QCF2007" w:eastAsiaTheme="minorHAnsi" w:hAnsi="QCF2007" w:cs="QCF2007"/>
          <w:color w:val="000000"/>
          <w:kern w:val="0"/>
          <w:sz w:val="26"/>
          <w:szCs w:val="26"/>
          <w:rtl/>
        </w:rPr>
        <w:t>ﳅ</w:t>
      </w:r>
      <w:r w:rsidR="001E1C5B">
        <w:rPr>
          <w:rFonts w:ascii="QCF2007" w:eastAsiaTheme="minorHAnsi" w:hAnsi="QCF2007" w:cs="QCF2007"/>
          <w:color w:val="000000"/>
          <w:kern w:val="0"/>
          <w:sz w:val="2"/>
          <w:szCs w:val="2"/>
          <w:rtl/>
        </w:rPr>
        <w:t xml:space="preserve"> </w:t>
      </w:r>
      <w:r w:rsidR="001E1C5B">
        <w:rPr>
          <w:rFonts w:ascii="QCF2007" w:eastAsiaTheme="minorHAnsi" w:hAnsi="QCF2007" w:cs="QCF2007"/>
          <w:color w:val="000000"/>
          <w:kern w:val="0"/>
          <w:sz w:val="26"/>
          <w:szCs w:val="26"/>
          <w:rtl/>
        </w:rPr>
        <w:t>ﳆ</w:t>
      </w:r>
      <w:r w:rsidR="001E1C5B">
        <w:rPr>
          <w:rFonts w:ascii="QCF2007" w:eastAsiaTheme="minorHAnsi" w:hAnsi="QCF2007" w:cs="QCF2007"/>
          <w:color w:val="000000"/>
          <w:kern w:val="0"/>
          <w:sz w:val="2"/>
          <w:szCs w:val="2"/>
          <w:rtl/>
        </w:rPr>
        <w:t xml:space="preserve"> </w:t>
      </w:r>
      <w:r w:rsidR="001E1C5B">
        <w:rPr>
          <w:rFonts w:ascii="QCF2BSML" w:eastAsiaTheme="minorHAnsi" w:hAnsi="QCF2BSML" w:cs="QCF2BSML"/>
          <w:color w:val="000000"/>
          <w:kern w:val="0"/>
          <w:sz w:val="26"/>
          <w:szCs w:val="26"/>
          <w:rtl/>
        </w:rPr>
        <w:t>ﱴ</w:t>
      </w:r>
      <w:r w:rsidR="001E1C5B">
        <w:rPr>
          <w:rFonts w:eastAsiaTheme="minorHAnsi" w:hint="cs"/>
          <w:color w:val="000000"/>
          <w:kern w:val="0"/>
          <w:rtl/>
        </w:rPr>
        <w:t xml:space="preserve"> </w:t>
      </w:r>
      <w:r w:rsidR="00691C9C">
        <w:rPr>
          <w:rFonts w:eastAsiaTheme="minorHAnsi" w:hint="cs"/>
          <w:color w:val="000000"/>
          <w:kern w:val="0"/>
          <w:rtl/>
        </w:rPr>
        <w:t>[</w:t>
      </w:r>
      <w:r w:rsidR="001E1C5B">
        <w:rPr>
          <w:rFonts w:eastAsiaTheme="minorHAnsi" w:hint="cs"/>
          <w:color w:val="000000"/>
          <w:kern w:val="0"/>
          <w:rtl/>
        </w:rPr>
        <w:t>الآية رقم 48 من سورة البقرة</w:t>
      </w:r>
      <w:r w:rsidR="00691C9C">
        <w:rPr>
          <w:rFonts w:eastAsiaTheme="minorHAnsi" w:hint="cs"/>
          <w:color w:val="000000"/>
          <w:kern w:val="0"/>
          <w:rtl/>
        </w:rPr>
        <w:t>]</w:t>
      </w:r>
      <w:r w:rsidR="001E1C5B">
        <w:rPr>
          <w:rFonts w:eastAsiaTheme="minorHAnsi" w:hint="cs"/>
          <w:color w:val="000000"/>
          <w:kern w:val="0"/>
          <w:rtl/>
        </w:rPr>
        <w:t xml:space="preserve"> وهو يوم القيامة.</w:t>
      </w:r>
    </w:p>
    <w:p w14:paraId="228A8748" w14:textId="0EBD0AFC" w:rsidR="001E1C5B" w:rsidRPr="001E1C5B" w:rsidRDefault="001E1C5B">
      <w:pPr>
        <w:pStyle w:val="ListParagraph"/>
        <w:numPr>
          <w:ilvl w:val="0"/>
          <w:numId w:val="6"/>
        </w:numPr>
        <w:ind w:left="567" w:hanging="567"/>
        <w:rPr>
          <w:lang w:bidi="ar-EG"/>
        </w:rPr>
      </w:pPr>
      <w:r>
        <w:rPr>
          <w:rFonts w:hint="cs"/>
          <w:rtl/>
          <w:lang w:bidi="ar-EG"/>
        </w:rPr>
        <w:t xml:space="preserve">قوله تعالى: </w:t>
      </w:r>
      <w:r>
        <w:rPr>
          <w:rFonts w:ascii="QCF2BSML" w:eastAsiaTheme="minorHAnsi" w:hAnsi="QCF2BSML" w:cs="QCF2BSML"/>
          <w:color w:val="000000"/>
          <w:kern w:val="0"/>
          <w:sz w:val="26"/>
          <w:szCs w:val="26"/>
          <w:rtl/>
        </w:rPr>
        <w:t>ﱵﭐ</w:t>
      </w:r>
      <w:r>
        <w:rPr>
          <w:rFonts w:ascii="QCF2054" w:eastAsiaTheme="minorHAnsi" w:hAnsi="QCF2054" w:cs="QCF2054"/>
          <w:color w:val="000000"/>
          <w:kern w:val="0"/>
          <w:sz w:val="2"/>
          <w:szCs w:val="2"/>
          <w:rtl/>
        </w:rPr>
        <w:t xml:space="preserve"> </w:t>
      </w:r>
      <w:r>
        <w:rPr>
          <w:rFonts w:ascii="QCF2054" w:eastAsiaTheme="minorHAnsi" w:hAnsi="QCF2054" w:cs="QCF2054"/>
          <w:color w:val="000000"/>
          <w:kern w:val="0"/>
          <w:sz w:val="26"/>
          <w:szCs w:val="26"/>
          <w:rtl/>
        </w:rPr>
        <w:t>ﱁ</w:t>
      </w:r>
      <w:r>
        <w:rPr>
          <w:rFonts w:ascii="QCF2054" w:eastAsiaTheme="minorHAnsi" w:hAnsi="QCF2054" w:cs="QCF2054"/>
          <w:color w:val="000000"/>
          <w:kern w:val="0"/>
          <w:sz w:val="2"/>
          <w:szCs w:val="2"/>
          <w:rtl/>
        </w:rPr>
        <w:t xml:space="preserve"> </w:t>
      </w:r>
      <w:r>
        <w:rPr>
          <w:rFonts w:ascii="QCF2054" w:eastAsiaTheme="minorHAnsi" w:hAnsi="QCF2054" w:cs="QCF2054"/>
          <w:color w:val="000000"/>
          <w:kern w:val="0"/>
          <w:sz w:val="26"/>
          <w:szCs w:val="26"/>
          <w:rtl/>
        </w:rPr>
        <w:t>ﱂ</w:t>
      </w:r>
      <w:r>
        <w:rPr>
          <w:rFonts w:ascii="QCF2054" w:eastAsiaTheme="minorHAnsi" w:hAnsi="QCF2054" w:cs="QCF2054"/>
          <w:color w:val="000000"/>
          <w:kern w:val="0"/>
          <w:sz w:val="2"/>
          <w:szCs w:val="2"/>
          <w:rtl/>
        </w:rPr>
        <w:t xml:space="preserve"> </w:t>
      </w:r>
      <w:r>
        <w:rPr>
          <w:rFonts w:ascii="QCF2054" w:eastAsiaTheme="minorHAnsi" w:hAnsi="QCF2054" w:cs="QCF2054"/>
          <w:color w:val="000000"/>
          <w:kern w:val="0"/>
          <w:sz w:val="26"/>
          <w:szCs w:val="26"/>
          <w:rtl/>
        </w:rPr>
        <w:t>ﱃ</w:t>
      </w:r>
      <w:r>
        <w:rPr>
          <w:rFonts w:ascii="QCF2054" w:eastAsiaTheme="minorHAnsi" w:hAnsi="QCF2054" w:cs="QCF2054"/>
          <w:color w:val="000000"/>
          <w:kern w:val="0"/>
          <w:sz w:val="2"/>
          <w:szCs w:val="2"/>
          <w:rtl/>
        </w:rPr>
        <w:t xml:space="preserve"> </w:t>
      </w:r>
      <w:r>
        <w:rPr>
          <w:rFonts w:ascii="QCF2054" w:eastAsiaTheme="minorHAnsi" w:hAnsi="QCF2054" w:cs="QCF2054"/>
          <w:color w:val="000000"/>
          <w:kern w:val="0"/>
          <w:sz w:val="26"/>
          <w:szCs w:val="26"/>
          <w:rtl/>
        </w:rPr>
        <w:t>ﱄ</w:t>
      </w:r>
      <w:r>
        <w:rPr>
          <w:rFonts w:ascii="QCF2054" w:eastAsiaTheme="minorHAnsi" w:hAnsi="QCF2054" w:cs="QCF2054"/>
          <w:color w:val="000000"/>
          <w:kern w:val="0"/>
          <w:sz w:val="2"/>
          <w:szCs w:val="2"/>
          <w:rtl/>
        </w:rPr>
        <w:t xml:space="preserve"> </w:t>
      </w:r>
      <w:r>
        <w:rPr>
          <w:rFonts w:ascii="QCF2054" w:eastAsiaTheme="minorHAnsi" w:hAnsi="QCF2054" w:cs="QCF2054"/>
          <w:color w:val="000000"/>
          <w:kern w:val="0"/>
          <w:sz w:val="26"/>
          <w:szCs w:val="26"/>
          <w:rtl/>
        </w:rPr>
        <w:t>ﱅ</w:t>
      </w:r>
      <w:r>
        <w:rPr>
          <w:rFonts w:ascii="QCF2054" w:eastAsiaTheme="minorHAnsi" w:hAnsi="QCF2054" w:cs="QCF2054"/>
          <w:color w:val="000000"/>
          <w:kern w:val="0"/>
          <w:sz w:val="2"/>
          <w:szCs w:val="2"/>
          <w:rtl/>
        </w:rPr>
        <w:t xml:space="preserve"> </w:t>
      </w:r>
      <w:r>
        <w:rPr>
          <w:rFonts w:ascii="QCF2054" w:eastAsiaTheme="minorHAnsi" w:hAnsi="QCF2054" w:cs="QCF2054"/>
          <w:color w:val="000000"/>
          <w:kern w:val="0"/>
          <w:sz w:val="26"/>
          <w:szCs w:val="26"/>
          <w:rtl/>
        </w:rPr>
        <w:t>ﱆ</w:t>
      </w:r>
      <w:r>
        <w:rPr>
          <w:rFonts w:ascii="QCF2054" w:eastAsiaTheme="minorHAnsi" w:hAnsi="QCF2054" w:cs="QCF2054"/>
          <w:color w:val="000000"/>
          <w:kern w:val="0"/>
          <w:sz w:val="2"/>
          <w:szCs w:val="2"/>
          <w:rtl/>
        </w:rPr>
        <w:t xml:space="preserve"> </w:t>
      </w:r>
      <w:r>
        <w:rPr>
          <w:rFonts w:ascii="QCF2054" w:eastAsiaTheme="minorHAnsi" w:hAnsi="QCF2054" w:cs="QCF2054"/>
          <w:color w:val="000000"/>
          <w:kern w:val="0"/>
          <w:sz w:val="26"/>
          <w:szCs w:val="26"/>
          <w:rtl/>
        </w:rPr>
        <w:t>ﱇ</w:t>
      </w:r>
      <w:r>
        <w:rPr>
          <w:rFonts w:ascii="QCF2054" w:eastAsiaTheme="minorHAnsi" w:hAnsi="QCF2054" w:cs="QCF2054"/>
          <w:color w:val="000000"/>
          <w:kern w:val="0"/>
          <w:sz w:val="2"/>
          <w:szCs w:val="2"/>
          <w:rtl/>
        </w:rPr>
        <w:t xml:space="preserve"> </w:t>
      </w:r>
      <w:r>
        <w:rPr>
          <w:rFonts w:ascii="QCF2054" w:eastAsiaTheme="minorHAnsi" w:hAnsi="QCF2054" w:cs="QCF2054"/>
          <w:color w:val="000000"/>
          <w:kern w:val="0"/>
          <w:sz w:val="26"/>
          <w:szCs w:val="26"/>
          <w:rtl/>
        </w:rPr>
        <w:t>ﱈ</w:t>
      </w:r>
      <w:r>
        <w:rPr>
          <w:rFonts w:ascii="QCF2054" w:eastAsiaTheme="minorHAnsi" w:hAnsi="QCF2054" w:cs="QCF2054"/>
          <w:color w:val="000000"/>
          <w:kern w:val="0"/>
          <w:sz w:val="2"/>
          <w:szCs w:val="2"/>
          <w:rtl/>
        </w:rPr>
        <w:t xml:space="preserve"> </w:t>
      </w:r>
      <w:r>
        <w:rPr>
          <w:rFonts w:ascii="QCF2054" w:eastAsiaTheme="minorHAnsi" w:hAnsi="QCF2054" w:cs="QCF2054"/>
          <w:color w:val="000000"/>
          <w:kern w:val="0"/>
          <w:sz w:val="26"/>
          <w:szCs w:val="26"/>
          <w:rtl/>
        </w:rPr>
        <w:t>ﱉ</w:t>
      </w:r>
      <w:r>
        <w:rPr>
          <w:rFonts w:ascii="QCF2054" w:eastAsiaTheme="minorHAnsi" w:hAnsi="QCF2054" w:cs="QCF2054"/>
          <w:color w:val="000000"/>
          <w:kern w:val="0"/>
          <w:sz w:val="2"/>
          <w:szCs w:val="2"/>
          <w:rtl/>
        </w:rPr>
        <w:t xml:space="preserve"> </w:t>
      </w:r>
      <w:r>
        <w:rPr>
          <w:rFonts w:ascii="QCF2BSML" w:eastAsiaTheme="minorHAnsi" w:hAnsi="QCF2BSML" w:cs="QCF2BSML"/>
          <w:color w:val="000000"/>
          <w:kern w:val="0"/>
          <w:sz w:val="26"/>
          <w:szCs w:val="26"/>
          <w:rtl/>
        </w:rPr>
        <w:t>ﱴ</w:t>
      </w:r>
      <w:r>
        <w:rPr>
          <w:rFonts w:ascii="Arial" w:eastAsiaTheme="minorHAnsi" w:hAnsi="Arial" w:cs="Arial"/>
          <w:color w:val="000000"/>
          <w:kern w:val="0"/>
          <w:sz w:val="2"/>
          <w:szCs w:val="2"/>
        </w:rPr>
        <w:t xml:space="preserve"> </w:t>
      </w:r>
      <w:r>
        <w:rPr>
          <w:rFonts w:hint="cs"/>
          <w:rtl/>
          <w:lang w:bidi="ar-EG"/>
        </w:rPr>
        <w:t xml:space="preserve"> </w:t>
      </w:r>
      <w:r w:rsidR="00691C9C">
        <w:rPr>
          <w:rFonts w:hint="cs"/>
          <w:rtl/>
          <w:lang w:bidi="ar-EG"/>
        </w:rPr>
        <w:t>[</w:t>
      </w:r>
      <w:r>
        <w:rPr>
          <w:rFonts w:hint="cs"/>
          <w:color w:val="000000"/>
          <w:rtl/>
          <w:lang w:bidi="ar-EG"/>
        </w:rPr>
        <w:t>الآية رقم 30 من سورة آل عمران</w:t>
      </w:r>
      <w:r w:rsidR="00691C9C">
        <w:rPr>
          <w:rFonts w:hint="cs"/>
          <w:color w:val="000000"/>
          <w:rtl/>
          <w:lang w:bidi="ar-EG"/>
        </w:rPr>
        <w:t>]</w:t>
      </w:r>
      <w:r>
        <w:rPr>
          <w:rFonts w:hint="cs"/>
          <w:color w:val="000000"/>
          <w:rtl/>
          <w:lang w:bidi="ar-EG"/>
        </w:rPr>
        <w:t>.</w:t>
      </w:r>
    </w:p>
    <w:p w14:paraId="617706D5" w14:textId="71297CFE" w:rsidR="001E1C5B" w:rsidRPr="001E1C5B" w:rsidRDefault="001E1C5B">
      <w:pPr>
        <w:pStyle w:val="ListParagraph"/>
        <w:numPr>
          <w:ilvl w:val="0"/>
          <w:numId w:val="6"/>
        </w:numPr>
        <w:ind w:left="567" w:hanging="567"/>
        <w:rPr>
          <w:lang w:bidi="ar-EG"/>
        </w:rPr>
      </w:pPr>
      <w:r>
        <w:rPr>
          <w:rFonts w:hint="cs"/>
          <w:color w:val="000000"/>
          <w:rtl/>
          <w:lang w:bidi="ar-EG"/>
        </w:rPr>
        <w:lastRenderedPageBreak/>
        <w:t xml:space="preserve">قوله تعالى: </w:t>
      </w:r>
      <w:r>
        <w:rPr>
          <w:rFonts w:ascii="QCF2BSML" w:eastAsiaTheme="minorHAnsi" w:hAnsi="QCF2BSML" w:cs="QCF2BSML"/>
          <w:color w:val="000000"/>
          <w:kern w:val="0"/>
          <w:sz w:val="26"/>
          <w:szCs w:val="26"/>
          <w:rtl/>
        </w:rPr>
        <w:t>ﱵﭐ</w:t>
      </w:r>
      <w:r>
        <w:rPr>
          <w:rFonts w:ascii="QCF2469" w:eastAsiaTheme="minorHAnsi" w:hAnsi="QCF2469" w:cs="QCF2469"/>
          <w:color w:val="000000"/>
          <w:kern w:val="0"/>
          <w:sz w:val="2"/>
          <w:szCs w:val="2"/>
          <w:rtl/>
        </w:rPr>
        <w:t xml:space="preserve"> </w:t>
      </w:r>
      <w:r>
        <w:rPr>
          <w:rFonts w:ascii="QCF2469" w:eastAsiaTheme="minorHAnsi" w:hAnsi="QCF2469" w:cs="QCF2469"/>
          <w:color w:val="000000"/>
          <w:kern w:val="0"/>
          <w:sz w:val="26"/>
          <w:szCs w:val="26"/>
          <w:rtl/>
        </w:rPr>
        <w:t>ﱁ</w:t>
      </w:r>
      <w:r>
        <w:rPr>
          <w:rFonts w:ascii="QCF2469" w:eastAsiaTheme="minorHAnsi" w:hAnsi="QCF2469" w:cs="QCF2469"/>
          <w:color w:val="000000"/>
          <w:kern w:val="0"/>
          <w:sz w:val="2"/>
          <w:szCs w:val="2"/>
          <w:rtl/>
        </w:rPr>
        <w:t xml:space="preserve"> </w:t>
      </w:r>
      <w:r>
        <w:rPr>
          <w:rFonts w:ascii="QCF2469" w:eastAsiaTheme="minorHAnsi" w:hAnsi="QCF2469" w:cs="QCF2469"/>
          <w:color w:val="000000"/>
          <w:kern w:val="0"/>
          <w:sz w:val="26"/>
          <w:szCs w:val="26"/>
          <w:rtl/>
        </w:rPr>
        <w:t>ﱂ</w:t>
      </w:r>
      <w:r>
        <w:rPr>
          <w:rFonts w:ascii="QCF2469" w:eastAsiaTheme="minorHAnsi" w:hAnsi="QCF2469" w:cs="QCF2469"/>
          <w:color w:val="000000"/>
          <w:kern w:val="0"/>
          <w:sz w:val="2"/>
          <w:szCs w:val="2"/>
          <w:rtl/>
        </w:rPr>
        <w:t xml:space="preserve"> </w:t>
      </w:r>
      <w:r>
        <w:rPr>
          <w:rFonts w:ascii="QCF2469" w:eastAsiaTheme="minorHAnsi" w:hAnsi="QCF2469" w:cs="QCF2469"/>
          <w:color w:val="000000"/>
          <w:kern w:val="0"/>
          <w:sz w:val="26"/>
          <w:szCs w:val="26"/>
          <w:rtl/>
        </w:rPr>
        <w:t>ﱃ</w:t>
      </w:r>
      <w:r>
        <w:rPr>
          <w:rFonts w:ascii="QCF2469" w:eastAsiaTheme="minorHAnsi" w:hAnsi="QCF2469" w:cs="QCF2469"/>
          <w:color w:val="000000"/>
          <w:kern w:val="0"/>
          <w:sz w:val="2"/>
          <w:szCs w:val="2"/>
          <w:rtl/>
        </w:rPr>
        <w:t xml:space="preserve"> </w:t>
      </w:r>
      <w:r>
        <w:rPr>
          <w:rFonts w:ascii="QCF2469" w:eastAsiaTheme="minorHAnsi" w:hAnsi="QCF2469" w:cs="QCF2469"/>
          <w:color w:val="000000"/>
          <w:kern w:val="0"/>
          <w:sz w:val="26"/>
          <w:szCs w:val="26"/>
          <w:rtl/>
        </w:rPr>
        <w:t>ﱄ</w:t>
      </w:r>
      <w:r>
        <w:rPr>
          <w:rFonts w:ascii="QCF2469" w:eastAsiaTheme="minorHAnsi" w:hAnsi="QCF2469" w:cs="QCF2469"/>
          <w:color w:val="000000"/>
          <w:kern w:val="0"/>
          <w:sz w:val="2"/>
          <w:szCs w:val="2"/>
          <w:rtl/>
        </w:rPr>
        <w:t xml:space="preserve"> </w:t>
      </w:r>
      <w:r>
        <w:rPr>
          <w:rFonts w:ascii="QCF2469" w:eastAsiaTheme="minorHAnsi" w:hAnsi="QCF2469" w:cs="QCF2469"/>
          <w:color w:val="000000"/>
          <w:kern w:val="0"/>
          <w:sz w:val="26"/>
          <w:szCs w:val="26"/>
          <w:rtl/>
        </w:rPr>
        <w:t>ﱅ</w:t>
      </w:r>
      <w:r>
        <w:rPr>
          <w:rFonts w:ascii="QCF2469" w:eastAsiaTheme="minorHAnsi" w:hAnsi="QCF2469" w:cs="QCF2469"/>
          <w:color w:val="000000"/>
          <w:kern w:val="0"/>
          <w:sz w:val="2"/>
          <w:szCs w:val="2"/>
          <w:rtl/>
        </w:rPr>
        <w:t xml:space="preserve"> </w:t>
      </w:r>
      <w:r>
        <w:rPr>
          <w:rFonts w:ascii="QCF2469" w:eastAsiaTheme="minorHAnsi" w:hAnsi="QCF2469" w:cs="QCF2469"/>
          <w:color w:val="000000"/>
          <w:kern w:val="0"/>
          <w:sz w:val="26"/>
          <w:szCs w:val="26"/>
          <w:rtl/>
        </w:rPr>
        <w:t>ﱆﱇ</w:t>
      </w:r>
      <w:r>
        <w:rPr>
          <w:rFonts w:ascii="QCF2469" w:eastAsiaTheme="minorHAnsi" w:hAnsi="QCF2469" w:cs="QCF2469"/>
          <w:color w:val="000000"/>
          <w:kern w:val="0"/>
          <w:sz w:val="2"/>
          <w:szCs w:val="2"/>
          <w:rtl/>
        </w:rPr>
        <w:t xml:space="preserve"> </w:t>
      </w:r>
      <w:r>
        <w:rPr>
          <w:rFonts w:ascii="QCF2469" w:eastAsiaTheme="minorHAnsi" w:hAnsi="QCF2469" w:cs="QCF2469"/>
          <w:color w:val="000000"/>
          <w:kern w:val="0"/>
          <w:sz w:val="26"/>
          <w:szCs w:val="26"/>
          <w:rtl/>
        </w:rPr>
        <w:t>ﱈ</w:t>
      </w:r>
      <w:r>
        <w:rPr>
          <w:rFonts w:ascii="QCF2469" w:eastAsiaTheme="minorHAnsi" w:hAnsi="QCF2469" w:cs="QCF2469"/>
          <w:color w:val="000000"/>
          <w:kern w:val="0"/>
          <w:sz w:val="2"/>
          <w:szCs w:val="2"/>
          <w:rtl/>
        </w:rPr>
        <w:t xml:space="preserve"> </w:t>
      </w:r>
      <w:r>
        <w:rPr>
          <w:rFonts w:ascii="QCF2469" w:eastAsiaTheme="minorHAnsi" w:hAnsi="QCF2469" w:cs="QCF2469"/>
          <w:color w:val="000000"/>
          <w:kern w:val="0"/>
          <w:sz w:val="26"/>
          <w:szCs w:val="26"/>
          <w:rtl/>
        </w:rPr>
        <w:t>ﱉ</w:t>
      </w:r>
      <w:r>
        <w:rPr>
          <w:rFonts w:ascii="QCF2469" w:eastAsiaTheme="minorHAnsi" w:hAnsi="QCF2469" w:cs="QCF2469"/>
          <w:color w:val="000000"/>
          <w:kern w:val="0"/>
          <w:sz w:val="2"/>
          <w:szCs w:val="2"/>
          <w:rtl/>
        </w:rPr>
        <w:t xml:space="preserve"> </w:t>
      </w:r>
      <w:r>
        <w:rPr>
          <w:rFonts w:ascii="QCF2469" w:eastAsiaTheme="minorHAnsi" w:hAnsi="QCF2469" w:cs="QCF2469"/>
          <w:color w:val="000000"/>
          <w:kern w:val="0"/>
          <w:sz w:val="26"/>
          <w:szCs w:val="26"/>
          <w:rtl/>
        </w:rPr>
        <w:t>ﱊ</w:t>
      </w:r>
      <w:r>
        <w:rPr>
          <w:rFonts w:ascii="QCF2BSML" w:eastAsiaTheme="minorHAnsi" w:hAnsi="QCF2BSML" w:cs="QCF2BSML"/>
          <w:color w:val="000000"/>
          <w:kern w:val="0"/>
          <w:sz w:val="26"/>
          <w:szCs w:val="26"/>
          <w:rtl/>
        </w:rPr>
        <w:t>ﱴ</w:t>
      </w:r>
      <w:r>
        <w:rPr>
          <w:rFonts w:eastAsiaTheme="minorHAnsi" w:hint="cs"/>
          <w:color w:val="000000"/>
          <w:kern w:val="0"/>
          <w:rtl/>
        </w:rPr>
        <w:t xml:space="preserve"> </w:t>
      </w:r>
      <w:r w:rsidR="00691C9C">
        <w:rPr>
          <w:rFonts w:eastAsiaTheme="minorHAnsi" w:hint="cs"/>
          <w:color w:val="000000"/>
          <w:kern w:val="0"/>
          <w:rtl/>
        </w:rPr>
        <w:t>[</w:t>
      </w:r>
      <w:r>
        <w:rPr>
          <w:rFonts w:eastAsiaTheme="minorHAnsi" w:hint="cs"/>
          <w:color w:val="000000"/>
          <w:kern w:val="0"/>
          <w:rtl/>
        </w:rPr>
        <w:t>الآية رقم 17 من سورة غافر</w:t>
      </w:r>
      <w:r w:rsidR="00691C9C">
        <w:rPr>
          <w:rFonts w:eastAsiaTheme="minorHAnsi" w:hint="cs"/>
          <w:color w:val="000000"/>
          <w:kern w:val="0"/>
          <w:rtl/>
        </w:rPr>
        <w:t>]</w:t>
      </w:r>
      <w:r>
        <w:rPr>
          <w:rFonts w:eastAsiaTheme="minorHAnsi" w:hint="cs"/>
          <w:color w:val="000000"/>
          <w:kern w:val="0"/>
          <w:rtl/>
        </w:rPr>
        <w:t>.</w:t>
      </w:r>
    </w:p>
    <w:p w14:paraId="51515102" w14:textId="5A27B9B0" w:rsidR="001E1C5B" w:rsidRDefault="001E1C5B">
      <w:pPr>
        <w:pStyle w:val="ListParagraph"/>
        <w:numPr>
          <w:ilvl w:val="0"/>
          <w:numId w:val="6"/>
        </w:numPr>
        <w:ind w:left="567" w:hanging="567"/>
        <w:rPr>
          <w:lang w:bidi="ar-EG"/>
        </w:rPr>
      </w:pPr>
      <w:r>
        <w:rPr>
          <w:rFonts w:eastAsiaTheme="minorHAnsi" w:hint="cs"/>
          <w:color w:val="000000"/>
          <w:kern w:val="0"/>
          <w:rtl/>
        </w:rPr>
        <w:t xml:space="preserve">قوله تعالى: </w:t>
      </w:r>
      <w:r>
        <w:rPr>
          <w:rFonts w:ascii="QCF2BSML" w:eastAsiaTheme="minorHAnsi" w:hAnsi="QCF2BSML" w:cs="QCF2BSML"/>
          <w:color w:val="000000"/>
          <w:kern w:val="0"/>
          <w:sz w:val="26"/>
          <w:szCs w:val="26"/>
          <w:rtl/>
        </w:rPr>
        <w:t>ﱵﭐ</w:t>
      </w:r>
      <w:r>
        <w:rPr>
          <w:rFonts w:ascii="QCF2283" w:eastAsiaTheme="minorHAnsi" w:hAnsi="QCF2283" w:cs="QCF2283"/>
          <w:color w:val="000000"/>
          <w:kern w:val="0"/>
          <w:sz w:val="2"/>
          <w:szCs w:val="2"/>
          <w:rtl/>
        </w:rPr>
        <w:t xml:space="preserve"> </w:t>
      </w:r>
      <w:r>
        <w:rPr>
          <w:rFonts w:ascii="QCF2283" w:eastAsiaTheme="minorHAnsi" w:hAnsi="QCF2283" w:cs="QCF2283"/>
          <w:color w:val="000000"/>
          <w:kern w:val="0"/>
          <w:sz w:val="26"/>
          <w:szCs w:val="26"/>
          <w:rtl/>
        </w:rPr>
        <w:t>ﲝ</w:t>
      </w:r>
      <w:r>
        <w:rPr>
          <w:rFonts w:ascii="QCF2283" w:eastAsiaTheme="minorHAnsi" w:hAnsi="QCF2283" w:cs="QCF2283"/>
          <w:color w:val="000000"/>
          <w:kern w:val="0"/>
          <w:sz w:val="2"/>
          <w:szCs w:val="2"/>
          <w:rtl/>
        </w:rPr>
        <w:t xml:space="preserve"> </w:t>
      </w:r>
      <w:r>
        <w:rPr>
          <w:rFonts w:ascii="QCF2283" w:eastAsiaTheme="minorHAnsi" w:hAnsi="QCF2283" w:cs="QCF2283"/>
          <w:color w:val="000000"/>
          <w:kern w:val="0"/>
          <w:sz w:val="26"/>
          <w:szCs w:val="26"/>
          <w:rtl/>
        </w:rPr>
        <w:t>ﲞ</w:t>
      </w:r>
      <w:r>
        <w:rPr>
          <w:rFonts w:ascii="QCF2283" w:eastAsiaTheme="minorHAnsi" w:hAnsi="QCF2283" w:cs="QCF2283"/>
          <w:color w:val="000000"/>
          <w:kern w:val="0"/>
          <w:sz w:val="2"/>
          <w:szCs w:val="2"/>
          <w:rtl/>
        </w:rPr>
        <w:t xml:space="preserve"> </w:t>
      </w:r>
      <w:r>
        <w:rPr>
          <w:rFonts w:ascii="QCF2283" w:eastAsiaTheme="minorHAnsi" w:hAnsi="QCF2283" w:cs="QCF2283"/>
          <w:color w:val="000000"/>
          <w:kern w:val="0"/>
          <w:sz w:val="26"/>
          <w:szCs w:val="26"/>
          <w:rtl/>
        </w:rPr>
        <w:t>ﲟ</w:t>
      </w:r>
      <w:r>
        <w:rPr>
          <w:rFonts w:ascii="QCF2283" w:eastAsiaTheme="minorHAnsi" w:hAnsi="QCF2283" w:cs="QCF2283"/>
          <w:color w:val="000000"/>
          <w:kern w:val="0"/>
          <w:sz w:val="2"/>
          <w:szCs w:val="2"/>
          <w:rtl/>
        </w:rPr>
        <w:t xml:space="preserve"> </w:t>
      </w:r>
      <w:r>
        <w:rPr>
          <w:rFonts w:ascii="QCF2283" w:eastAsiaTheme="minorHAnsi" w:hAnsi="QCF2283" w:cs="QCF2283"/>
          <w:color w:val="000000"/>
          <w:kern w:val="0"/>
          <w:sz w:val="26"/>
          <w:szCs w:val="26"/>
          <w:rtl/>
        </w:rPr>
        <w:t>ﲠ</w:t>
      </w:r>
      <w:r>
        <w:rPr>
          <w:rFonts w:ascii="QCF2283" w:eastAsiaTheme="minorHAnsi" w:hAnsi="QCF2283" w:cs="QCF2283"/>
          <w:color w:val="000000"/>
          <w:kern w:val="0"/>
          <w:sz w:val="2"/>
          <w:szCs w:val="2"/>
          <w:rtl/>
        </w:rPr>
        <w:t xml:space="preserve"> </w:t>
      </w:r>
      <w:r>
        <w:rPr>
          <w:rFonts w:ascii="QCF2283" w:eastAsiaTheme="minorHAnsi" w:hAnsi="QCF2283" w:cs="QCF2283"/>
          <w:color w:val="000000"/>
          <w:kern w:val="0"/>
          <w:sz w:val="26"/>
          <w:szCs w:val="26"/>
          <w:rtl/>
        </w:rPr>
        <w:t>ﲡ</w:t>
      </w:r>
      <w:r>
        <w:rPr>
          <w:rFonts w:ascii="QCF2283" w:eastAsiaTheme="minorHAnsi" w:hAnsi="QCF2283" w:cs="QCF2283"/>
          <w:color w:val="000000"/>
          <w:kern w:val="0"/>
          <w:sz w:val="2"/>
          <w:szCs w:val="2"/>
          <w:rtl/>
        </w:rPr>
        <w:t xml:space="preserve"> </w:t>
      </w:r>
      <w:r>
        <w:rPr>
          <w:rFonts w:ascii="QCF2283" w:eastAsiaTheme="minorHAnsi" w:hAnsi="QCF2283" w:cs="QCF2283"/>
          <w:color w:val="000000"/>
          <w:kern w:val="0"/>
          <w:sz w:val="26"/>
          <w:szCs w:val="26"/>
          <w:rtl/>
        </w:rPr>
        <w:t>ﲢ</w:t>
      </w:r>
      <w:r>
        <w:rPr>
          <w:rFonts w:ascii="QCF2283" w:eastAsiaTheme="minorHAnsi" w:hAnsi="QCF2283" w:cs="QCF2283"/>
          <w:color w:val="000000"/>
          <w:kern w:val="0"/>
          <w:sz w:val="2"/>
          <w:szCs w:val="2"/>
          <w:rtl/>
        </w:rPr>
        <w:t xml:space="preserve"> </w:t>
      </w:r>
      <w:r>
        <w:rPr>
          <w:rFonts w:ascii="QCF2283" w:eastAsiaTheme="minorHAnsi" w:hAnsi="QCF2283" w:cs="QCF2283"/>
          <w:color w:val="000000"/>
          <w:kern w:val="0"/>
          <w:sz w:val="26"/>
          <w:szCs w:val="26"/>
          <w:rtl/>
        </w:rPr>
        <w:t>ﲣ</w:t>
      </w:r>
      <w:r>
        <w:rPr>
          <w:rFonts w:ascii="QCF2283" w:eastAsiaTheme="minorHAnsi" w:hAnsi="QCF2283" w:cs="QCF2283"/>
          <w:color w:val="000000"/>
          <w:kern w:val="0"/>
          <w:sz w:val="2"/>
          <w:szCs w:val="2"/>
          <w:rtl/>
        </w:rPr>
        <w:t xml:space="preserve">  </w:t>
      </w:r>
      <w:r>
        <w:rPr>
          <w:rFonts w:ascii="QCF2BSML" w:eastAsiaTheme="minorHAnsi" w:hAnsi="QCF2BSML" w:cs="QCF2BSML"/>
          <w:color w:val="000000"/>
          <w:kern w:val="0"/>
          <w:sz w:val="26"/>
          <w:szCs w:val="26"/>
          <w:rtl/>
        </w:rPr>
        <w:t>ﱴ</w:t>
      </w:r>
      <w:r w:rsidRPr="001E1C5B">
        <w:rPr>
          <w:rFonts w:hint="cs"/>
          <w:rtl/>
        </w:rPr>
        <w:t xml:space="preserve"> </w:t>
      </w:r>
      <w:r w:rsidR="00691C9C">
        <w:rPr>
          <w:rFonts w:hint="cs"/>
          <w:rtl/>
        </w:rPr>
        <w:t>[</w:t>
      </w:r>
      <w:r w:rsidRPr="001E1C5B">
        <w:rPr>
          <w:rFonts w:hint="cs"/>
          <w:rtl/>
        </w:rPr>
        <w:t>الآية</w:t>
      </w:r>
      <w:r>
        <w:rPr>
          <w:rFonts w:hint="cs"/>
          <w:rtl/>
        </w:rPr>
        <w:t xml:space="preserve"> رقم 14 من سورة الإسراء</w:t>
      </w:r>
      <w:r w:rsidR="00691C9C">
        <w:rPr>
          <w:rFonts w:hint="cs"/>
          <w:rtl/>
        </w:rPr>
        <w:t>]</w:t>
      </w:r>
      <w:r>
        <w:rPr>
          <w:rFonts w:hint="cs"/>
          <w:rtl/>
        </w:rPr>
        <w:t>.</w:t>
      </w:r>
    </w:p>
    <w:p w14:paraId="090BE6B2" w14:textId="11225C5C" w:rsidR="001E1C5B" w:rsidRDefault="001E1C5B">
      <w:pPr>
        <w:pStyle w:val="ListParagraph"/>
        <w:numPr>
          <w:ilvl w:val="0"/>
          <w:numId w:val="6"/>
        </w:numPr>
        <w:ind w:left="567" w:hanging="567"/>
        <w:rPr>
          <w:lang w:bidi="ar-EG"/>
        </w:rPr>
      </w:pPr>
      <w:r>
        <w:rPr>
          <w:rFonts w:hint="cs"/>
          <w:rtl/>
        </w:rPr>
        <w:t xml:space="preserve">قوله تعالى: </w:t>
      </w:r>
      <w:r>
        <w:rPr>
          <w:rFonts w:ascii="QCF2BSML" w:eastAsiaTheme="minorHAnsi" w:hAnsi="QCF2BSML" w:cs="QCF2BSML"/>
          <w:color w:val="000000"/>
          <w:kern w:val="0"/>
          <w:sz w:val="26"/>
          <w:szCs w:val="26"/>
          <w:rtl/>
        </w:rPr>
        <w:t>ﱵﭐ</w:t>
      </w:r>
      <w:r>
        <w:rPr>
          <w:rFonts w:ascii="QCF2258" w:eastAsiaTheme="minorHAnsi" w:hAnsi="QCF2258" w:cs="QCF2258"/>
          <w:color w:val="000000"/>
          <w:kern w:val="0"/>
          <w:sz w:val="26"/>
          <w:szCs w:val="26"/>
          <w:rtl/>
        </w:rPr>
        <w:t>ﲔ</w:t>
      </w:r>
      <w:r>
        <w:rPr>
          <w:rFonts w:ascii="QCF2258" w:eastAsiaTheme="minorHAnsi" w:hAnsi="QCF2258" w:cs="QCF2258"/>
          <w:color w:val="000000"/>
          <w:kern w:val="0"/>
          <w:sz w:val="2"/>
          <w:szCs w:val="2"/>
          <w:rtl/>
        </w:rPr>
        <w:t xml:space="preserve"> </w:t>
      </w:r>
      <w:r>
        <w:rPr>
          <w:rFonts w:ascii="QCF2258" w:eastAsiaTheme="minorHAnsi" w:hAnsi="QCF2258" w:cs="QCF2258"/>
          <w:color w:val="000000"/>
          <w:kern w:val="0"/>
          <w:sz w:val="26"/>
          <w:szCs w:val="26"/>
          <w:rtl/>
        </w:rPr>
        <w:t>ﲕ</w:t>
      </w:r>
      <w:r>
        <w:rPr>
          <w:rFonts w:ascii="QCF2258" w:eastAsiaTheme="minorHAnsi" w:hAnsi="QCF2258" w:cs="QCF2258"/>
          <w:color w:val="000000"/>
          <w:kern w:val="0"/>
          <w:sz w:val="2"/>
          <w:szCs w:val="2"/>
          <w:rtl/>
        </w:rPr>
        <w:t xml:space="preserve"> </w:t>
      </w:r>
      <w:r>
        <w:rPr>
          <w:rFonts w:ascii="QCF2258" w:eastAsiaTheme="minorHAnsi" w:hAnsi="QCF2258" w:cs="QCF2258"/>
          <w:color w:val="000000"/>
          <w:kern w:val="0"/>
          <w:sz w:val="26"/>
          <w:szCs w:val="26"/>
          <w:rtl/>
        </w:rPr>
        <w:t>ﲖ</w:t>
      </w:r>
      <w:r>
        <w:rPr>
          <w:rFonts w:ascii="QCF2258" w:eastAsiaTheme="minorHAnsi" w:hAnsi="QCF2258" w:cs="QCF2258"/>
          <w:color w:val="000000"/>
          <w:kern w:val="0"/>
          <w:sz w:val="2"/>
          <w:szCs w:val="2"/>
          <w:rtl/>
        </w:rPr>
        <w:t xml:space="preserve"> </w:t>
      </w:r>
      <w:r>
        <w:rPr>
          <w:rFonts w:ascii="QCF2258" w:eastAsiaTheme="minorHAnsi" w:hAnsi="QCF2258" w:cs="QCF2258"/>
          <w:color w:val="000000"/>
          <w:kern w:val="0"/>
          <w:sz w:val="26"/>
          <w:szCs w:val="26"/>
          <w:rtl/>
        </w:rPr>
        <w:t>ﲗ</w:t>
      </w:r>
      <w:r>
        <w:rPr>
          <w:rFonts w:ascii="QCF2258" w:eastAsiaTheme="minorHAnsi" w:hAnsi="QCF2258" w:cs="QCF2258"/>
          <w:color w:val="000000"/>
          <w:kern w:val="0"/>
          <w:sz w:val="2"/>
          <w:szCs w:val="2"/>
          <w:rtl/>
        </w:rPr>
        <w:t xml:space="preserve"> </w:t>
      </w:r>
      <w:r>
        <w:rPr>
          <w:rFonts w:ascii="QCF2258" w:eastAsiaTheme="minorHAnsi" w:hAnsi="QCF2258" w:cs="QCF2258"/>
          <w:color w:val="000000"/>
          <w:kern w:val="0"/>
          <w:sz w:val="26"/>
          <w:szCs w:val="26"/>
          <w:rtl/>
        </w:rPr>
        <w:t>ﲘﲙ</w:t>
      </w:r>
      <w:r>
        <w:rPr>
          <w:rFonts w:ascii="QCF2258" w:eastAsiaTheme="minorHAnsi" w:hAnsi="QCF2258" w:cs="QCF2258"/>
          <w:color w:val="000000"/>
          <w:kern w:val="0"/>
          <w:sz w:val="2"/>
          <w:szCs w:val="2"/>
          <w:rtl/>
        </w:rPr>
        <w:t xml:space="preserve"> </w:t>
      </w:r>
      <w:r>
        <w:rPr>
          <w:rFonts w:ascii="QCF2BSML" w:eastAsiaTheme="minorHAnsi" w:hAnsi="QCF2BSML" w:cs="QCF2BSML"/>
          <w:color w:val="000000"/>
          <w:kern w:val="0"/>
          <w:sz w:val="26"/>
          <w:szCs w:val="26"/>
          <w:rtl/>
        </w:rPr>
        <w:t>ﱴ</w:t>
      </w:r>
      <w:r>
        <w:rPr>
          <w:rFonts w:ascii="Arial" w:eastAsiaTheme="minorHAnsi" w:hAnsi="Arial" w:cs="Arial"/>
          <w:color w:val="000000"/>
          <w:kern w:val="0"/>
          <w:sz w:val="2"/>
          <w:szCs w:val="2"/>
        </w:rPr>
        <w:t xml:space="preserve"> </w:t>
      </w:r>
      <w:r>
        <w:rPr>
          <w:rFonts w:hint="cs"/>
          <w:rtl/>
        </w:rPr>
        <w:t xml:space="preserve"> </w:t>
      </w:r>
      <w:r w:rsidR="00691C9C">
        <w:rPr>
          <w:rFonts w:hint="cs"/>
          <w:rtl/>
        </w:rPr>
        <w:t>[</w:t>
      </w:r>
      <w:r>
        <w:rPr>
          <w:rFonts w:hint="cs"/>
          <w:rtl/>
        </w:rPr>
        <w:t>الآية رقم 22 من سورة إبراهيم</w:t>
      </w:r>
      <w:r w:rsidR="00691C9C">
        <w:rPr>
          <w:rFonts w:hint="cs"/>
          <w:rtl/>
        </w:rPr>
        <w:t>]</w:t>
      </w:r>
      <w:r>
        <w:rPr>
          <w:rFonts w:hint="cs"/>
          <w:rtl/>
        </w:rPr>
        <w:t>.</w:t>
      </w:r>
    </w:p>
    <w:p w14:paraId="36907487" w14:textId="0D97ADC9" w:rsidR="001E1C5B" w:rsidRDefault="001E1C5B">
      <w:pPr>
        <w:pStyle w:val="ListParagraph"/>
        <w:numPr>
          <w:ilvl w:val="0"/>
          <w:numId w:val="6"/>
        </w:numPr>
        <w:ind w:left="567" w:hanging="567"/>
        <w:rPr>
          <w:lang w:bidi="ar-EG"/>
        </w:rPr>
      </w:pPr>
      <w:r>
        <w:rPr>
          <w:rFonts w:hint="cs"/>
          <w:rtl/>
        </w:rPr>
        <w:t xml:space="preserve">قوله تعالى: </w:t>
      </w:r>
      <w:r>
        <w:rPr>
          <w:rFonts w:ascii="QCF2BSML" w:eastAsiaTheme="minorHAnsi" w:hAnsi="QCF2BSML" w:cs="QCF2BSML"/>
          <w:color w:val="000000"/>
          <w:kern w:val="0"/>
          <w:sz w:val="26"/>
          <w:szCs w:val="26"/>
          <w:rtl/>
        </w:rPr>
        <w:t>ﱵﭐ</w:t>
      </w:r>
      <w:r>
        <w:rPr>
          <w:rFonts w:ascii="QCF2331" w:eastAsiaTheme="minorHAnsi" w:hAnsi="QCF2331" w:cs="QCF2331"/>
          <w:color w:val="000000"/>
          <w:kern w:val="0"/>
          <w:sz w:val="2"/>
          <w:szCs w:val="2"/>
          <w:rtl/>
        </w:rPr>
        <w:t xml:space="preserve"> </w:t>
      </w:r>
      <w:r>
        <w:rPr>
          <w:rFonts w:ascii="QCF2331" w:eastAsiaTheme="minorHAnsi" w:hAnsi="QCF2331" w:cs="QCF2331"/>
          <w:color w:val="000000"/>
          <w:kern w:val="0"/>
          <w:sz w:val="26"/>
          <w:szCs w:val="26"/>
          <w:rtl/>
        </w:rPr>
        <w:t>ﱁ</w:t>
      </w:r>
      <w:r>
        <w:rPr>
          <w:rFonts w:ascii="QCF2331" w:eastAsiaTheme="minorHAnsi" w:hAnsi="QCF2331" w:cs="QCF2331"/>
          <w:color w:val="000000"/>
          <w:kern w:val="0"/>
          <w:sz w:val="2"/>
          <w:szCs w:val="2"/>
          <w:rtl/>
        </w:rPr>
        <w:t xml:space="preserve"> </w:t>
      </w:r>
      <w:r>
        <w:rPr>
          <w:rFonts w:ascii="QCF2331" w:eastAsiaTheme="minorHAnsi" w:hAnsi="QCF2331" w:cs="QCF2331"/>
          <w:color w:val="000000"/>
          <w:kern w:val="0"/>
          <w:sz w:val="26"/>
          <w:szCs w:val="26"/>
          <w:rtl/>
        </w:rPr>
        <w:t>ﱂ</w:t>
      </w:r>
      <w:r>
        <w:rPr>
          <w:rFonts w:ascii="QCF2331" w:eastAsiaTheme="minorHAnsi" w:hAnsi="QCF2331" w:cs="QCF2331"/>
          <w:color w:val="000000"/>
          <w:kern w:val="0"/>
          <w:sz w:val="2"/>
          <w:szCs w:val="2"/>
          <w:rtl/>
        </w:rPr>
        <w:t xml:space="preserve"> </w:t>
      </w:r>
      <w:r>
        <w:rPr>
          <w:rFonts w:ascii="QCF2331" w:eastAsiaTheme="minorHAnsi" w:hAnsi="QCF2331" w:cs="QCF2331"/>
          <w:color w:val="000000"/>
          <w:kern w:val="0"/>
          <w:sz w:val="26"/>
          <w:szCs w:val="26"/>
          <w:rtl/>
        </w:rPr>
        <w:t>ﱃﱄ</w:t>
      </w:r>
      <w:r>
        <w:rPr>
          <w:rFonts w:ascii="QCF2331" w:eastAsiaTheme="minorHAnsi" w:hAnsi="QCF2331" w:cs="QCF2331"/>
          <w:color w:val="000000"/>
          <w:kern w:val="0"/>
          <w:sz w:val="2"/>
          <w:szCs w:val="2"/>
          <w:rtl/>
        </w:rPr>
        <w:t xml:space="preserve"> </w:t>
      </w:r>
      <w:r>
        <w:rPr>
          <w:rFonts w:ascii="QCF2331" w:eastAsiaTheme="minorHAnsi" w:hAnsi="QCF2331" w:cs="QCF2331"/>
          <w:color w:val="000000"/>
          <w:kern w:val="0"/>
          <w:sz w:val="26"/>
          <w:szCs w:val="26"/>
          <w:rtl/>
        </w:rPr>
        <w:t>ﱅ</w:t>
      </w:r>
      <w:r>
        <w:rPr>
          <w:rFonts w:ascii="QCF2331" w:eastAsiaTheme="minorHAnsi" w:hAnsi="QCF2331" w:cs="QCF2331"/>
          <w:color w:val="000000"/>
          <w:kern w:val="0"/>
          <w:sz w:val="2"/>
          <w:szCs w:val="2"/>
          <w:rtl/>
        </w:rPr>
        <w:t xml:space="preserve"> </w:t>
      </w:r>
      <w:r>
        <w:rPr>
          <w:rFonts w:ascii="QCF2331" w:eastAsiaTheme="minorHAnsi" w:hAnsi="QCF2331" w:cs="QCF2331"/>
          <w:color w:val="000000"/>
          <w:kern w:val="0"/>
          <w:sz w:val="26"/>
          <w:szCs w:val="26"/>
          <w:rtl/>
        </w:rPr>
        <w:t>ﱆ</w:t>
      </w:r>
      <w:r>
        <w:rPr>
          <w:rFonts w:ascii="QCF2331" w:eastAsiaTheme="minorHAnsi" w:hAnsi="QCF2331" w:cs="QCF2331"/>
          <w:color w:val="000000"/>
          <w:kern w:val="0"/>
          <w:sz w:val="2"/>
          <w:szCs w:val="2"/>
          <w:rtl/>
        </w:rPr>
        <w:t xml:space="preserve"> </w:t>
      </w:r>
      <w:r>
        <w:rPr>
          <w:rFonts w:ascii="QCF2331" w:eastAsiaTheme="minorHAnsi" w:hAnsi="QCF2331" w:cs="QCF2331"/>
          <w:color w:val="000000"/>
          <w:kern w:val="0"/>
          <w:sz w:val="26"/>
          <w:szCs w:val="26"/>
          <w:rtl/>
        </w:rPr>
        <w:t>ﱇ</w:t>
      </w:r>
      <w:r>
        <w:rPr>
          <w:rFonts w:ascii="QCF2331" w:eastAsiaTheme="minorHAnsi" w:hAnsi="QCF2331" w:cs="QCF2331"/>
          <w:color w:val="000000"/>
          <w:kern w:val="0"/>
          <w:sz w:val="2"/>
          <w:szCs w:val="2"/>
          <w:rtl/>
        </w:rPr>
        <w:t xml:space="preserve"> </w:t>
      </w:r>
      <w:r>
        <w:rPr>
          <w:rFonts w:ascii="QCF2331" w:eastAsiaTheme="minorHAnsi" w:hAnsi="QCF2331" w:cs="QCF2331"/>
          <w:color w:val="000000"/>
          <w:kern w:val="0"/>
          <w:sz w:val="26"/>
          <w:szCs w:val="26"/>
          <w:rtl/>
        </w:rPr>
        <w:t>ﱈ</w:t>
      </w:r>
      <w:r>
        <w:rPr>
          <w:rFonts w:ascii="QCF2331" w:eastAsiaTheme="minorHAnsi" w:hAnsi="QCF2331" w:cs="QCF2331"/>
          <w:color w:val="000000"/>
          <w:kern w:val="0"/>
          <w:sz w:val="2"/>
          <w:szCs w:val="2"/>
          <w:rtl/>
        </w:rPr>
        <w:t xml:space="preserve"> </w:t>
      </w:r>
      <w:r>
        <w:rPr>
          <w:rFonts w:ascii="QCF2331" w:eastAsiaTheme="minorHAnsi" w:hAnsi="QCF2331" w:cs="QCF2331"/>
          <w:color w:val="000000"/>
          <w:kern w:val="0"/>
          <w:sz w:val="26"/>
          <w:szCs w:val="26"/>
          <w:rtl/>
        </w:rPr>
        <w:t>ﱉ</w:t>
      </w:r>
      <w:r>
        <w:rPr>
          <w:rFonts w:ascii="QCF2331" w:eastAsiaTheme="minorHAnsi" w:hAnsi="QCF2331" w:cs="QCF2331"/>
          <w:color w:val="000000"/>
          <w:kern w:val="0"/>
          <w:sz w:val="2"/>
          <w:szCs w:val="2"/>
          <w:rtl/>
        </w:rPr>
        <w:t xml:space="preserve">  </w:t>
      </w:r>
      <w:r>
        <w:rPr>
          <w:rFonts w:ascii="QCF2331" w:eastAsiaTheme="minorHAnsi" w:hAnsi="QCF2331" w:cs="QCF2331"/>
          <w:color w:val="000000"/>
          <w:kern w:val="0"/>
          <w:sz w:val="26"/>
          <w:szCs w:val="26"/>
          <w:rtl/>
        </w:rPr>
        <w:t>ﱊ</w:t>
      </w:r>
      <w:r>
        <w:rPr>
          <w:rFonts w:ascii="QCF2331" w:eastAsiaTheme="minorHAnsi" w:hAnsi="QCF2331" w:cs="QCF2331"/>
          <w:color w:val="000000"/>
          <w:kern w:val="0"/>
          <w:sz w:val="2"/>
          <w:szCs w:val="2"/>
          <w:rtl/>
        </w:rPr>
        <w:t xml:space="preserve"> </w:t>
      </w:r>
      <w:r>
        <w:rPr>
          <w:rFonts w:ascii="QCF2BSML" w:eastAsiaTheme="minorHAnsi" w:hAnsi="QCF2BSML" w:cs="QCF2BSML"/>
          <w:color w:val="000000"/>
          <w:kern w:val="0"/>
          <w:sz w:val="26"/>
          <w:szCs w:val="26"/>
          <w:rtl/>
        </w:rPr>
        <w:t>ﱴ</w:t>
      </w:r>
      <w:r>
        <w:rPr>
          <w:rFonts w:ascii="Arial" w:eastAsiaTheme="minorHAnsi" w:hAnsi="Arial" w:cs="Arial"/>
          <w:color w:val="000000"/>
          <w:kern w:val="0"/>
          <w:sz w:val="2"/>
          <w:szCs w:val="2"/>
        </w:rPr>
        <w:t xml:space="preserve"> </w:t>
      </w:r>
      <w:r>
        <w:rPr>
          <w:rFonts w:hint="cs"/>
          <w:rtl/>
        </w:rPr>
        <w:t xml:space="preserve">  </w:t>
      </w:r>
      <w:r w:rsidR="00691C9C">
        <w:rPr>
          <w:rFonts w:hint="cs"/>
          <w:rtl/>
        </w:rPr>
        <w:t>[</w:t>
      </w:r>
      <w:r>
        <w:rPr>
          <w:rFonts w:hint="cs"/>
          <w:rtl/>
        </w:rPr>
        <w:t>الآية رقم 102 من سورة الأنبياء</w:t>
      </w:r>
      <w:r w:rsidR="00691C9C">
        <w:rPr>
          <w:rFonts w:hint="cs"/>
          <w:rtl/>
        </w:rPr>
        <w:t>]</w:t>
      </w:r>
      <w:r>
        <w:rPr>
          <w:rFonts w:hint="cs"/>
          <w:rtl/>
        </w:rPr>
        <w:t>.</w:t>
      </w:r>
    </w:p>
    <w:p w14:paraId="102C237D" w14:textId="1486F7BF" w:rsidR="001E1C5B" w:rsidRDefault="001E1C5B" w:rsidP="001E1C5B">
      <w:pPr>
        <w:rPr>
          <w:rtl/>
          <w:lang w:bidi="ar-EG"/>
        </w:rPr>
      </w:pPr>
      <w:r>
        <w:rPr>
          <w:rFonts w:hint="cs"/>
          <w:rtl/>
          <w:lang w:bidi="ar-EG"/>
        </w:rPr>
        <w:t>وأما الروح فإن حقيقتها لا يعلمها إلا الله عز وجل وليس لأحد أن يتكلم فيها لكنها في أوصافها وأحوالها كما ذكر الإمام الغزالي لطيفة (رقيقة، غير كثيفة، ليّنة، هديّة، دقيقة المعنى</w:t>
      </w:r>
      <w:r w:rsidRPr="0046333C">
        <w:rPr>
          <w:rFonts w:hint="cs"/>
          <w:vertAlign w:val="superscript"/>
          <w:rtl/>
          <w:lang w:bidi="ar-EG"/>
        </w:rPr>
        <w:t>(</w:t>
      </w:r>
      <w:r w:rsidRPr="0046333C">
        <w:rPr>
          <w:vertAlign w:val="superscript"/>
          <w:rtl/>
        </w:rPr>
        <w:footnoteReference w:id="6"/>
      </w:r>
      <w:r w:rsidRPr="0046333C">
        <w:rPr>
          <w:rFonts w:hint="cs"/>
          <w:vertAlign w:val="superscript"/>
          <w:rtl/>
          <w:lang w:bidi="ar-EG"/>
        </w:rPr>
        <w:t>)</w:t>
      </w:r>
      <w:r>
        <w:rPr>
          <w:rFonts w:hint="cs"/>
          <w:rtl/>
          <w:lang w:bidi="ar-EG"/>
        </w:rPr>
        <w:t>) ربانية، لها في القلب تعلّق، وهي حقيقة الإنسان، وهي المدركة العالمة العارفة من الإنسان، وتعجز أكثر العقول والأفهام عن درْك حقيقتها</w:t>
      </w:r>
      <w:r w:rsidRPr="0046333C">
        <w:rPr>
          <w:rFonts w:hint="cs"/>
          <w:vertAlign w:val="superscript"/>
          <w:rtl/>
          <w:lang w:bidi="ar-EG"/>
        </w:rPr>
        <w:t>(</w:t>
      </w:r>
      <w:r w:rsidRPr="0046333C">
        <w:rPr>
          <w:vertAlign w:val="superscript"/>
          <w:rtl/>
        </w:rPr>
        <w:footnoteReference w:id="7"/>
      </w:r>
      <w:r w:rsidRPr="0046333C">
        <w:rPr>
          <w:rFonts w:hint="cs"/>
          <w:vertAlign w:val="superscript"/>
          <w:rtl/>
          <w:lang w:bidi="ar-EG"/>
        </w:rPr>
        <w:t>)</w:t>
      </w:r>
      <w:r>
        <w:rPr>
          <w:rFonts w:hint="cs"/>
          <w:rtl/>
          <w:lang w:bidi="ar-EG"/>
        </w:rPr>
        <w:t xml:space="preserve">، </w:t>
      </w:r>
      <w:r w:rsidR="00691C9C">
        <w:rPr>
          <w:rFonts w:hint="cs"/>
          <w:rtl/>
          <w:lang w:bidi="ar-EG"/>
        </w:rPr>
        <w:t xml:space="preserve">ولذلك قال الله عز وجل فيها: </w:t>
      </w:r>
      <w:r w:rsidR="00691C9C">
        <w:rPr>
          <w:rFonts w:ascii="QCF2BSML" w:eastAsiaTheme="minorHAnsi" w:hAnsi="QCF2BSML" w:cs="QCF2BSML"/>
          <w:color w:val="000000"/>
          <w:kern w:val="0"/>
          <w:sz w:val="26"/>
          <w:szCs w:val="26"/>
          <w:rtl/>
        </w:rPr>
        <w:t>ﱵﭐ</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ﲻ</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ﲼ</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ﲽﲾ</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ﲿ</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ﳀ</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ﳁ</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ﳂ</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ﳃ</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ﳄ</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ﳅ</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ﳆ</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ﳇ</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ﳈ</w:t>
      </w:r>
      <w:r w:rsidR="00691C9C">
        <w:rPr>
          <w:rFonts w:ascii="QCF2290" w:eastAsiaTheme="minorHAnsi" w:hAnsi="QCF2290" w:cs="QCF2290"/>
          <w:color w:val="000000"/>
          <w:kern w:val="0"/>
          <w:sz w:val="2"/>
          <w:szCs w:val="2"/>
          <w:rtl/>
        </w:rPr>
        <w:t xml:space="preserve"> </w:t>
      </w:r>
      <w:r w:rsidR="00691C9C">
        <w:rPr>
          <w:rFonts w:ascii="QCF2290" w:eastAsiaTheme="minorHAnsi" w:hAnsi="QCF2290" w:cs="QCF2290"/>
          <w:color w:val="000000"/>
          <w:kern w:val="0"/>
          <w:sz w:val="26"/>
          <w:szCs w:val="26"/>
          <w:rtl/>
        </w:rPr>
        <w:t>ﳉ</w:t>
      </w:r>
      <w:r w:rsidR="00691C9C">
        <w:rPr>
          <w:rFonts w:ascii="QCF2290" w:eastAsiaTheme="minorHAnsi" w:hAnsi="QCF2290" w:cs="QCF2290"/>
          <w:color w:val="000000"/>
          <w:kern w:val="0"/>
          <w:sz w:val="2"/>
          <w:szCs w:val="2"/>
          <w:rtl/>
        </w:rPr>
        <w:t xml:space="preserve"> </w:t>
      </w:r>
      <w:r w:rsidR="00691C9C">
        <w:rPr>
          <w:rFonts w:ascii="QCF2BSML" w:eastAsiaTheme="minorHAnsi" w:hAnsi="QCF2BSML" w:cs="QCF2BSML"/>
          <w:color w:val="000000"/>
          <w:kern w:val="0"/>
          <w:sz w:val="26"/>
          <w:szCs w:val="26"/>
          <w:rtl/>
        </w:rPr>
        <w:t>ﱴ</w:t>
      </w:r>
      <w:r w:rsidR="00691C9C">
        <w:rPr>
          <w:rFonts w:ascii="Arial" w:eastAsiaTheme="minorHAnsi" w:hAnsi="Arial" w:cs="Arial"/>
          <w:color w:val="000000"/>
          <w:kern w:val="0"/>
          <w:sz w:val="2"/>
          <w:szCs w:val="2"/>
        </w:rPr>
        <w:t xml:space="preserve"> </w:t>
      </w:r>
      <w:r w:rsidR="00691C9C">
        <w:rPr>
          <w:rFonts w:eastAsiaTheme="minorHAnsi" w:hint="cs"/>
          <w:kern w:val="0"/>
          <w:rtl/>
        </w:rPr>
        <w:t xml:space="preserve"> [الآية رقم 85 من سورة الإسراء].</w:t>
      </w:r>
      <w:r w:rsidR="00691C9C">
        <w:rPr>
          <w:rFonts w:hint="cs"/>
          <w:rtl/>
          <w:lang w:bidi="ar-EG"/>
        </w:rPr>
        <w:t xml:space="preserve"> </w:t>
      </w:r>
    </w:p>
    <w:p w14:paraId="39D48E19" w14:textId="41A8B27D" w:rsidR="00691C9C" w:rsidRDefault="00691C9C" w:rsidP="00691C9C">
      <w:pPr>
        <w:pStyle w:val="Heading2"/>
        <w:rPr>
          <w:rtl/>
          <w:lang w:bidi="ar-EG"/>
        </w:rPr>
      </w:pPr>
      <w:r>
        <w:rPr>
          <w:rFonts w:hint="cs"/>
          <w:rtl/>
          <w:lang w:bidi="ar-EG"/>
        </w:rPr>
        <w:t>المصطلح الثاني: المصلحة:</w:t>
      </w:r>
    </w:p>
    <w:p w14:paraId="04AA505B" w14:textId="64F862EF" w:rsidR="0046333C" w:rsidRDefault="00691C9C" w:rsidP="00691C9C">
      <w:pPr>
        <w:rPr>
          <w:rtl/>
          <w:lang w:bidi="ar-EG"/>
        </w:rPr>
      </w:pPr>
      <w:r>
        <w:rPr>
          <w:rFonts w:hint="cs"/>
          <w:rtl/>
          <w:lang w:bidi="ar-EG"/>
        </w:rPr>
        <w:t>المدلول اللغوي والاصطلاحي للمصلحة: تقول العرب: صَلَح الشيء صلاحًا: كان نافعًا أو مناسبًا، وصَلُحَ صلاحًا: زال عنه الفساد، وأصلَح الشيء أزال فسادَه، والمصلحة: المنفعة والجمع مصالح</w:t>
      </w:r>
      <w:r w:rsidRPr="0046333C">
        <w:rPr>
          <w:rFonts w:hint="cs"/>
          <w:vertAlign w:val="superscript"/>
          <w:rtl/>
          <w:lang w:bidi="ar-EG"/>
        </w:rPr>
        <w:t>(</w:t>
      </w:r>
      <w:r w:rsidRPr="0046333C">
        <w:rPr>
          <w:vertAlign w:val="superscript"/>
          <w:rtl/>
        </w:rPr>
        <w:footnoteReference w:id="8"/>
      </w:r>
      <w:r w:rsidRPr="0046333C">
        <w:rPr>
          <w:rFonts w:hint="cs"/>
          <w:vertAlign w:val="superscript"/>
          <w:rtl/>
          <w:lang w:bidi="ar-EG"/>
        </w:rPr>
        <w:t>)</w:t>
      </w:r>
      <w:r>
        <w:rPr>
          <w:rFonts w:hint="cs"/>
          <w:rtl/>
          <w:lang w:bidi="ar-EG"/>
        </w:rPr>
        <w:t>.</w:t>
      </w:r>
    </w:p>
    <w:p w14:paraId="659F68AB" w14:textId="5062C705" w:rsidR="00691C9C" w:rsidRDefault="00691C9C" w:rsidP="00691C9C">
      <w:pPr>
        <w:rPr>
          <w:rtl/>
          <w:lang w:bidi="ar-EG"/>
        </w:rPr>
      </w:pPr>
      <w:r>
        <w:rPr>
          <w:rFonts w:hint="cs"/>
          <w:rtl/>
          <w:lang w:bidi="ar-EG"/>
        </w:rPr>
        <w:t xml:space="preserve">وقد عرفها الإمام الشاطبي في الموافقات بقوله: وأعني بالمصالح: ما يرجع إلى قيام حياة الإنسان، وتمام عيشه، ونيله ما تقتضيه أوصافه الشهوانية والعقلية على </w:t>
      </w:r>
      <w:r>
        <w:rPr>
          <w:rFonts w:hint="cs"/>
          <w:rtl/>
          <w:lang w:bidi="ar-EG"/>
        </w:rPr>
        <w:lastRenderedPageBreak/>
        <w:t>الإطلاق، حتى يكون منعّمًا على الإطلاق</w:t>
      </w:r>
      <w:r w:rsidRPr="0046333C">
        <w:rPr>
          <w:rFonts w:hint="cs"/>
          <w:vertAlign w:val="superscript"/>
          <w:rtl/>
          <w:lang w:bidi="ar-EG"/>
        </w:rPr>
        <w:t>(</w:t>
      </w:r>
      <w:r w:rsidRPr="0046333C">
        <w:rPr>
          <w:vertAlign w:val="superscript"/>
          <w:rtl/>
        </w:rPr>
        <w:footnoteReference w:id="9"/>
      </w:r>
      <w:r w:rsidRPr="0046333C">
        <w:rPr>
          <w:rFonts w:hint="cs"/>
          <w:vertAlign w:val="superscript"/>
          <w:rtl/>
          <w:lang w:bidi="ar-EG"/>
        </w:rPr>
        <w:t>)</w:t>
      </w:r>
      <w:r>
        <w:rPr>
          <w:rFonts w:hint="cs"/>
          <w:rtl/>
          <w:lang w:bidi="ar-EG"/>
        </w:rPr>
        <w:t>... وبناءً عليه: فإن المصلحة من وجهة نظر هذه الدراسة تعني: كل وسيلة أو كل أمر يحقق المحافظة على الدين، أو النفس، أو العقل، أو النسْل، أو المال، فكل أمر فيه وسيلة للمحافظة على هذه الأصول الخمس فهو مصلحة.</w:t>
      </w:r>
    </w:p>
    <w:p w14:paraId="788AA416" w14:textId="4E9A5983" w:rsidR="00691C9C" w:rsidRDefault="00691C9C" w:rsidP="00691C9C">
      <w:pPr>
        <w:rPr>
          <w:rtl/>
          <w:lang w:bidi="ar-EG"/>
        </w:rPr>
      </w:pPr>
      <w:r>
        <w:rPr>
          <w:rFonts w:hint="cs"/>
          <w:rtl/>
          <w:lang w:bidi="ar-EG"/>
        </w:rPr>
        <w:t>وللجمع بين التعريف اللغوي والاصطلاحي للمصلحة ترى هذه الدراسة أن المصلحة تعني: كل وسيلة تجلب للإنسان نفعًا أو تدفع عنه ضررًا في دينه أو في دنياه أو في معاشه ومعاده، بحصول الخير الملائم له، واندفاع الشرّ المنافي لمقصوده.</w:t>
      </w:r>
    </w:p>
    <w:p w14:paraId="59954331" w14:textId="7F0CF7A9" w:rsidR="00691C9C" w:rsidRDefault="00691C9C" w:rsidP="00691C9C">
      <w:pPr>
        <w:pStyle w:val="Heading2"/>
        <w:rPr>
          <w:rtl/>
          <w:lang w:bidi="ar-EG"/>
        </w:rPr>
      </w:pPr>
      <w:r>
        <w:rPr>
          <w:rFonts w:hint="cs"/>
          <w:rtl/>
          <w:lang w:bidi="ar-EG"/>
        </w:rPr>
        <w:t>مكان الوقف في سلّم المصالح:</w:t>
      </w:r>
    </w:p>
    <w:p w14:paraId="426F91FC" w14:textId="0F6D1077" w:rsidR="00691C9C" w:rsidRDefault="00691C9C" w:rsidP="00691C9C">
      <w:pPr>
        <w:rPr>
          <w:rtl/>
          <w:lang w:bidi="ar-EG"/>
        </w:rPr>
      </w:pPr>
      <w:r>
        <w:rPr>
          <w:rFonts w:hint="cs"/>
          <w:rtl/>
          <w:lang w:bidi="ar-EG"/>
        </w:rPr>
        <w:t xml:space="preserve">لقد فُسّرت الصدقة الجارية بالوقف وذلك في الحديث الذي رواه الإمام مسلم في باب ما يلحق الإنسان من الثواب بعد وفاته برقم 1631 وهو الحديث الذي رواه الإمام أحمد في مسنده ج2، ص372، وأبو داوود في سننه برقم 2880 والترمذي في جامعه برقم 1376 والنسائي في سننه </w:t>
      </w:r>
      <w:r w:rsidRPr="00691C9C">
        <w:rPr>
          <w:rFonts w:hint="cs"/>
          <w:highlight w:val="yellow"/>
          <w:rtl/>
          <w:lang w:bidi="ar-EG"/>
        </w:rPr>
        <w:t>ج؟،</w:t>
      </w:r>
      <w:r>
        <w:rPr>
          <w:rFonts w:hint="cs"/>
          <w:rtl/>
          <w:lang w:bidi="ar-EG"/>
        </w:rPr>
        <w:t xml:space="preserve"> ص251، واللفظ لمسلم عن أبي هريرة رضي الله عنه أن رسول الله </w:t>
      </w:r>
      <w:r>
        <w:rPr>
          <w:lang w:bidi="ar-EG"/>
        </w:rPr>
        <w:sym w:font="AGA Arabesque" w:char="F072"/>
      </w:r>
      <w:r>
        <w:rPr>
          <w:rFonts w:hint="cs"/>
          <w:rtl/>
          <w:lang w:bidi="ar-EG"/>
        </w:rPr>
        <w:t xml:space="preserve"> قال: </w:t>
      </w:r>
      <w:r>
        <w:rPr>
          <w:rtl/>
          <w:lang w:bidi="ar-EG"/>
        </w:rPr>
        <w:t>«</w:t>
      </w:r>
      <w:r>
        <w:rPr>
          <w:rFonts w:hint="cs"/>
          <w:rtl/>
          <w:lang w:bidi="ar-EG"/>
        </w:rPr>
        <w:t>إذا مات الإنسان انقطع عمله</w:t>
      </w:r>
      <w:r>
        <w:rPr>
          <w:rtl/>
          <w:lang w:bidi="ar-EG"/>
        </w:rPr>
        <w:t>»</w:t>
      </w:r>
      <w:r w:rsidR="0037287C">
        <w:rPr>
          <w:rFonts w:hint="cs"/>
          <w:rtl/>
          <w:lang w:bidi="ar-EG"/>
        </w:rPr>
        <w:t xml:space="preserve"> إلا من ثلاثة، إلا من صدقة جارية، أو علم ينتفع به، أو ولد صالح يدعو له يقول الإمام النووي في شرحه لهذا الحديث: قال العلماء: معنى الحديث أن عمل الميت ينقطع بموته، وينقطع تجدد الثواب له إلا في هذه الأشياء الثلاثة لكونه كان سببها، فإن الولد من كسبه، وكذلك العلم الذي خلفه من تعليم أو تصنيف وكذلك الصدقة الجارية، وهي الوقف. وفيه (أي في </w:t>
      </w:r>
      <w:r w:rsidR="0037287C">
        <w:rPr>
          <w:rFonts w:hint="cs"/>
          <w:rtl/>
          <w:lang w:bidi="ar-EG"/>
        </w:rPr>
        <w:lastRenderedPageBreak/>
        <w:t>الحديث) دليل لصحة أصل الوقف، وعظيم ثوابه (وفيه أن الصدقة يصل ثوابها إلى الميت) بإجماع العلماء</w:t>
      </w:r>
      <w:r w:rsidR="0037287C" w:rsidRPr="0046333C">
        <w:rPr>
          <w:rFonts w:hint="cs"/>
          <w:vertAlign w:val="superscript"/>
          <w:rtl/>
          <w:lang w:bidi="ar-EG"/>
        </w:rPr>
        <w:t>(</w:t>
      </w:r>
      <w:r w:rsidR="0037287C" w:rsidRPr="0046333C">
        <w:rPr>
          <w:vertAlign w:val="superscript"/>
          <w:rtl/>
        </w:rPr>
        <w:footnoteReference w:id="10"/>
      </w:r>
      <w:r w:rsidR="0037287C" w:rsidRPr="0046333C">
        <w:rPr>
          <w:rFonts w:hint="cs"/>
          <w:vertAlign w:val="superscript"/>
          <w:rtl/>
          <w:lang w:bidi="ar-EG"/>
        </w:rPr>
        <w:t>)</w:t>
      </w:r>
      <w:r w:rsidR="0037287C">
        <w:rPr>
          <w:rFonts w:hint="cs"/>
          <w:rtl/>
          <w:lang w:bidi="ar-EG"/>
        </w:rPr>
        <w:t>.</w:t>
      </w:r>
    </w:p>
    <w:p w14:paraId="1A436A2A" w14:textId="7C5D188A" w:rsidR="0037287C" w:rsidRDefault="0037287C" w:rsidP="00691C9C">
      <w:pPr>
        <w:rPr>
          <w:rtl/>
          <w:lang w:bidi="ar-EG"/>
        </w:rPr>
      </w:pPr>
      <w:r>
        <w:rPr>
          <w:rFonts w:hint="cs"/>
          <w:rtl/>
          <w:lang w:bidi="ar-EG"/>
        </w:rPr>
        <w:t xml:space="preserve">ولما كان الوقف صدقة جارية، فإنه يدخل في باب العبادات، والسؤال الذي نطرحه هنا هو: هل أرشدنا رسول الله </w:t>
      </w:r>
      <w:r>
        <w:rPr>
          <w:lang w:bidi="ar-EG"/>
        </w:rPr>
        <w:sym w:font="AGA Arabesque" w:char="F072"/>
      </w:r>
      <w:r>
        <w:rPr>
          <w:rFonts w:hint="cs"/>
          <w:rtl/>
          <w:lang w:bidi="ar-EG"/>
        </w:rPr>
        <w:t xml:space="preserve"> أن نتعبّد لله بالوقف؟ والجواب فيما رواه الإمام مسلم بسنده عن ابن عمر رضي الله عنهما قال: أصحاب عمر أرضا بخيبر (أي من أرض خيبر) فأتى النبي </w:t>
      </w:r>
      <w:r>
        <w:rPr>
          <w:lang w:bidi="ar-EG"/>
        </w:rPr>
        <w:sym w:font="AGA Arabesque" w:char="F072"/>
      </w:r>
      <w:r>
        <w:rPr>
          <w:rFonts w:hint="cs"/>
          <w:rtl/>
          <w:lang w:bidi="ar-EG"/>
        </w:rPr>
        <w:t xml:space="preserve"> يستأمره فيها فقال: يا رسول الله إني أصبت أرضا بخيبر، لم أُصب مالًا قط هو أنْفَسُ عندي منه فما تأمُرُني به قال: إن شئتَ حَبَسْت أصْلها وتصدّقت بها (أي بريعها) قال: فتصدّق بها عمل، أنه لا يُباعُ أصلُها ولا يُبتاع، ولا يُوَرث ولا يُوهَبُ، قال: فتصدّق عمر في الفقراء وفي الُربَى وفي الرقاب وفي سبيل الله وابن السبيل، والضيف، لا جُناحَ على </w:t>
      </w:r>
      <w:r w:rsidR="00117D06">
        <w:rPr>
          <w:rFonts w:hint="cs"/>
          <w:rtl/>
          <w:lang w:bidi="ar-EG"/>
        </w:rPr>
        <w:t>مَنْ وَلِيَهاَ (أي تولىّ أمْرَها أو أتى إليها) أن يأكل منها بالمعروف، أو يُطْعِمَ صديقًا، غير مُتَمَوِّلٍ فيه (وفي رواية أخرى: غير مُتَأثل مالًا</w:t>
      </w:r>
      <w:r w:rsidR="00117D06" w:rsidRPr="0046333C">
        <w:rPr>
          <w:rFonts w:hint="cs"/>
          <w:vertAlign w:val="superscript"/>
          <w:rtl/>
          <w:lang w:bidi="ar-EG"/>
        </w:rPr>
        <w:t>(</w:t>
      </w:r>
      <w:r w:rsidR="00117D06" w:rsidRPr="0046333C">
        <w:rPr>
          <w:vertAlign w:val="superscript"/>
          <w:rtl/>
        </w:rPr>
        <w:footnoteReference w:id="11"/>
      </w:r>
      <w:r w:rsidR="00117D06" w:rsidRPr="0046333C">
        <w:rPr>
          <w:rFonts w:hint="cs"/>
          <w:vertAlign w:val="superscript"/>
          <w:rtl/>
          <w:lang w:bidi="ar-EG"/>
        </w:rPr>
        <w:t>)</w:t>
      </w:r>
      <w:r w:rsidR="00117D06">
        <w:rPr>
          <w:rFonts w:hint="cs"/>
          <w:rtl/>
          <w:lang w:bidi="ar-EG"/>
        </w:rPr>
        <w:t>)، (أي غير جامع من بيعه لبعض نتاجها) والذي يؤخذ من الحديث:</w:t>
      </w:r>
    </w:p>
    <w:p w14:paraId="3CF14EE3" w14:textId="12EF4961" w:rsidR="00117D06" w:rsidRDefault="00117D06" w:rsidP="00691C9C">
      <w:pPr>
        <w:rPr>
          <w:rtl/>
          <w:lang w:bidi="ar-EG"/>
        </w:rPr>
      </w:pPr>
      <w:r>
        <w:rPr>
          <w:rFonts w:hint="cs"/>
          <w:rtl/>
          <w:lang w:bidi="ar-EG"/>
        </w:rPr>
        <w:t xml:space="preserve">أن رسول الله </w:t>
      </w:r>
      <w:r>
        <w:rPr>
          <w:lang w:bidi="ar-EG"/>
        </w:rPr>
        <w:sym w:font="AGA Arabesque" w:char="F072"/>
      </w:r>
      <w:r>
        <w:rPr>
          <w:rFonts w:hint="cs"/>
          <w:rtl/>
          <w:lang w:bidi="ar-EG"/>
        </w:rPr>
        <w:t xml:space="preserve"> أرشد عمر بن الخطاب رضي الله عنه بأن يقف سهمه أو نصيبه من أرض خيبر بعد فتح المسلمين لها وقسمتها على الفاتحين يقفه صدقة لله عز وجل، وفي هذا دلالة على أن الوقف صدقة جارية وعلى أن الرسول قد أرشد إلى التعبّد به إلى عز وجل، والسؤال هو: هل العبادة في الوقف معقولة المعنى أي يمكن الوقوف على حكمتها ومعرفة علّتها وإدراك المصلحة فيها؟ أم أنها عبادة إذا كان لا تُدرك حكمتها ولا تُعرف علّتها، وإنما تفعل إجلالًا لله وانقيادًا لطاعته وابتغاء لثوابه ومرضاته على الطاعة والإذعان من غير جلب لمصلحة غير مصلحة الثواب؟ وقبل الإجابة على هذا السؤال </w:t>
      </w:r>
      <w:r>
        <w:rPr>
          <w:rFonts w:hint="cs"/>
          <w:rtl/>
          <w:lang w:bidi="ar-EG"/>
        </w:rPr>
        <w:lastRenderedPageBreak/>
        <w:t>ننبه إلى أن جميع العبادات ليست عَريّة أو مجردة عن المصالح، فإنها جميعها مبنية على تحقيق مصالح العباد ودرء المفاسد عنهم، لكن بعض هذه العبادات يمكن للعقول فهم حكمتها فتسمى معقولة المعنى وبعضها الآخر خافية الحكمة على العقول فتسمى غير معقولة المعنى مع الجزم بوجود حكمة لها وتوفر مصلحة الثواب وزكاة النفس فيها.</w:t>
      </w:r>
    </w:p>
    <w:p w14:paraId="7CD7255B" w14:textId="6943028F" w:rsidR="00117D06" w:rsidRDefault="00117D06" w:rsidP="00691C9C">
      <w:pPr>
        <w:rPr>
          <w:rtl/>
          <w:lang w:bidi="ar-EG"/>
        </w:rPr>
      </w:pPr>
      <w:r>
        <w:rPr>
          <w:rFonts w:hint="cs"/>
          <w:rtl/>
          <w:lang w:bidi="ar-EG"/>
        </w:rPr>
        <w:t>ويقف الوقف في جانب العبادات معقولة المعنى، مصلحية الأغراض والأهداف، وأنه ليس من باب التعبد الذي لا يعقل معناه، بل هو معقول المعنى مصلحي الهدف</w:t>
      </w:r>
      <w:r w:rsidRPr="0046333C">
        <w:rPr>
          <w:rFonts w:hint="cs"/>
          <w:vertAlign w:val="superscript"/>
          <w:rtl/>
          <w:lang w:bidi="ar-EG"/>
        </w:rPr>
        <w:t>(</w:t>
      </w:r>
      <w:r w:rsidRPr="0046333C">
        <w:rPr>
          <w:vertAlign w:val="superscript"/>
          <w:rtl/>
        </w:rPr>
        <w:footnoteReference w:id="12"/>
      </w:r>
      <w:r w:rsidRPr="0046333C">
        <w:rPr>
          <w:rFonts w:hint="cs"/>
          <w:vertAlign w:val="superscript"/>
          <w:rtl/>
          <w:lang w:bidi="ar-EG"/>
        </w:rPr>
        <w:t>)</w:t>
      </w:r>
      <w:r w:rsidR="000F5F54">
        <w:rPr>
          <w:rFonts w:hint="cs"/>
          <w:rtl/>
          <w:lang w:bidi="ar-EG"/>
        </w:rPr>
        <w:t xml:space="preserve"> فهو يجمع بين معاني: الهبة، والصدقة الجارية، وصلة الرحم، وهو يخدم أغراض الادخار وتمويل الاستثمار، وتحقيق النفع العام وقد ساهم في مسيرة حياته في حماية الثغور و بناء الرُّبُط والمراكز اللوجستية لإمداد المجاهدين بالغذاء والماء والسلاح، وقد كان غيثًا مدرارًا ومعينًا فياّضًا للأفراد الذين تسطو عليهم عاديات الزمان، وتقسو عليهم ظروف الدهر والحياة وتنضب عليهم الموارد، حيث كان يحيى  موتاهم بالغذاء، ويعالج مرضاهم بالدواء، ويسقى عطشاهم بالأسبلة وحفر الآبار على مفارق الطرق، ويشيّد بيوت الله للمصلّين، ويرفع صروع المدارس والكتاتيب لطلاب العلم والدارسين، وكانت الجراية في الأزهر الشريف تأتي لطلابه بأرزاقهم بكرة وعيشًّا كي يتفرغوا لطلب العلم ونشر المعرفة.</w:t>
      </w:r>
    </w:p>
    <w:p w14:paraId="2AE8E0EB" w14:textId="53A1A93A" w:rsidR="000F5F54" w:rsidRDefault="000F5F54" w:rsidP="000F5F54">
      <w:pPr>
        <w:pStyle w:val="Heading2"/>
        <w:rPr>
          <w:rtl/>
          <w:lang w:bidi="ar-EG"/>
        </w:rPr>
      </w:pPr>
      <w:r>
        <w:rPr>
          <w:rFonts w:hint="cs"/>
          <w:rtl/>
          <w:lang w:bidi="ar-EG"/>
        </w:rPr>
        <w:t>المصالح العليا للأمة التي يمكن للوقف رعايتها والمحافظة عليها في الوقت الحاضر:</w:t>
      </w:r>
    </w:p>
    <w:p w14:paraId="3E42FA0D" w14:textId="06266DDB" w:rsidR="000F5F54" w:rsidRDefault="000F5F54" w:rsidP="000F5F54">
      <w:pPr>
        <w:rPr>
          <w:rtl/>
          <w:lang w:bidi="ar-EG"/>
        </w:rPr>
      </w:pPr>
      <w:r>
        <w:rPr>
          <w:rFonts w:hint="cs"/>
          <w:rtl/>
          <w:lang w:bidi="ar-EG"/>
        </w:rPr>
        <w:t>إن الوقف ومن خلال الصناديق الوقفية المتعددة الأغراض والمسارات والتي يمكن تمويلها من المصادر التالية:</w:t>
      </w:r>
    </w:p>
    <w:p w14:paraId="404DC436" w14:textId="3371CC5D" w:rsidR="000F5F54" w:rsidRDefault="000F5F54">
      <w:pPr>
        <w:pStyle w:val="ListParagraph"/>
        <w:numPr>
          <w:ilvl w:val="0"/>
          <w:numId w:val="8"/>
        </w:numPr>
        <w:ind w:left="567" w:hanging="567"/>
        <w:rPr>
          <w:lang w:bidi="ar-EG"/>
        </w:rPr>
      </w:pPr>
      <w:r>
        <w:rPr>
          <w:rFonts w:hint="cs"/>
          <w:rtl/>
          <w:lang w:bidi="ar-EG"/>
        </w:rPr>
        <w:lastRenderedPageBreak/>
        <w:t>من الحسابات المصرفية لدى البنوك التجارية</w:t>
      </w:r>
      <w:r w:rsidRPr="003C7DD9">
        <w:rPr>
          <w:rFonts w:hint="cs"/>
          <w:vertAlign w:val="superscript"/>
          <w:rtl/>
          <w:lang w:bidi="ar-EG"/>
        </w:rPr>
        <w:t>(</w:t>
      </w:r>
      <w:r w:rsidRPr="0046333C">
        <w:rPr>
          <w:vertAlign w:val="superscript"/>
          <w:rtl/>
        </w:rPr>
        <w:footnoteReference w:id="13"/>
      </w:r>
      <w:r w:rsidRPr="003C7DD9">
        <w:rPr>
          <w:rFonts w:hint="cs"/>
          <w:vertAlign w:val="superscript"/>
          <w:rtl/>
          <w:lang w:bidi="ar-EG"/>
        </w:rPr>
        <w:t>)</w:t>
      </w:r>
      <w:r>
        <w:rPr>
          <w:rFonts w:hint="cs"/>
          <w:rtl/>
          <w:lang w:bidi="ar-EG"/>
        </w:rPr>
        <w:t xml:space="preserve"> التي يرى أصحابها عدم أخذ</w:t>
      </w:r>
      <w:r w:rsidR="003C7DD9">
        <w:rPr>
          <w:rFonts w:hint="cs"/>
          <w:rtl/>
          <w:lang w:bidi="ar-EG"/>
        </w:rPr>
        <w:t xml:space="preserve"> الفوائد المصرفية عليها، حيث يمكن أن يتلقاها صندوق وقفي خيري بنفس شروط إيداعها لدى البنك ولنفس الآمال المحددة بحسب رغبة المودع، وأن يستثمرها في الأوراق المالية وينفق من ريعها (أرباحها) على الفرض الذي من أجله أنشئ الصندوق، فيكون حساب كل مودع ادخارًا خالًا له يسترده وقتما يشاء وصدقة جارية يحصل على ثوابها في دنياه وأخراه، وتتحقق من خلال هذا الصندوق المصالح التالية:</w:t>
      </w:r>
    </w:p>
    <w:p w14:paraId="01541AF9" w14:textId="69F0E6B2" w:rsidR="003C7DD9" w:rsidRDefault="003C7DD9">
      <w:pPr>
        <w:pStyle w:val="ListParagraph"/>
        <w:numPr>
          <w:ilvl w:val="0"/>
          <w:numId w:val="7"/>
        </w:numPr>
        <w:ind w:left="1134" w:hanging="567"/>
        <w:rPr>
          <w:lang w:bidi="ar-EG"/>
        </w:rPr>
      </w:pPr>
      <w:r>
        <w:rPr>
          <w:rFonts w:hint="cs"/>
          <w:rtl/>
          <w:lang w:bidi="ar-EG"/>
        </w:rPr>
        <w:t>تنمية أعيان الأوقاف وتحديث معالمه وأنشطته الاقتصادية.</w:t>
      </w:r>
    </w:p>
    <w:p w14:paraId="79B6DA7F" w14:textId="7D4A43FB" w:rsidR="003C7DD9" w:rsidRDefault="003C7DD9">
      <w:pPr>
        <w:pStyle w:val="ListParagraph"/>
        <w:numPr>
          <w:ilvl w:val="0"/>
          <w:numId w:val="7"/>
        </w:numPr>
        <w:ind w:left="1134" w:hanging="567"/>
        <w:rPr>
          <w:lang w:bidi="ar-EG"/>
        </w:rPr>
      </w:pPr>
      <w:r>
        <w:rPr>
          <w:rFonts w:hint="cs"/>
          <w:rtl/>
          <w:lang w:bidi="ar-EG"/>
        </w:rPr>
        <w:t>رفع كفاءة الوقف كمرفق اجتماعي واقتصادي لمساعدة المعوزين دون المساس بأعيان الأوقاف.</w:t>
      </w:r>
    </w:p>
    <w:p w14:paraId="2DD4CB39" w14:textId="5506DEF5" w:rsidR="003C7DD9" w:rsidRDefault="003C7DD9">
      <w:pPr>
        <w:pStyle w:val="ListParagraph"/>
        <w:numPr>
          <w:ilvl w:val="0"/>
          <w:numId w:val="7"/>
        </w:numPr>
        <w:ind w:left="1134" w:hanging="567"/>
        <w:rPr>
          <w:lang w:bidi="ar-EG"/>
        </w:rPr>
      </w:pPr>
      <w:r>
        <w:rPr>
          <w:rFonts w:hint="cs"/>
          <w:rtl/>
          <w:lang w:bidi="ar-EG"/>
        </w:rPr>
        <w:t>حصول أصحاب الحسابات الموقوفة على ثواب الصدقة الجارية.</w:t>
      </w:r>
    </w:p>
    <w:p w14:paraId="4E882640" w14:textId="0888FDBB" w:rsidR="003C7DD9" w:rsidRDefault="003C7DD9">
      <w:pPr>
        <w:pStyle w:val="ListParagraph"/>
        <w:numPr>
          <w:ilvl w:val="0"/>
          <w:numId w:val="7"/>
        </w:numPr>
        <w:ind w:left="1134" w:hanging="567"/>
        <w:rPr>
          <w:lang w:bidi="ar-EG"/>
        </w:rPr>
      </w:pPr>
      <w:r>
        <w:rPr>
          <w:rFonts w:hint="cs"/>
          <w:rtl/>
          <w:lang w:bidi="ar-EG"/>
        </w:rPr>
        <w:t>قطع النزاع حول مدى اعتبار الودائع لدى البنوك التجارية قروضًا أو ودائع ناقصة.</w:t>
      </w:r>
    </w:p>
    <w:p w14:paraId="1DACC835" w14:textId="07C8320A" w:rsidR="003C7DD9" w:rsidRDefault="003C7DD9">
      <w:pPr>
        <w:pStyle w:val="ListParagraph"/>
        <w:numPr>
          <w:ilvl w:val="0"/>
          <w:numId w:val="7"/>
        </w:numPr>
        <w:ind w:left="1134" w:hanging="567"/>
        <w:rPr>
          <w:lang w:bidi="ar-EG"/>
        </w:rPr>
      </w:pPr>
      <w:r>
        <w:rPr>
          <w:rFonts w:hint="cs"/>
          <w:rtl/>
          <w:lang w:bidi="ar-EG"/>
        </w:rPr>
        <w:t>إدارة أموال الوقف بأساليب الإدارة العلمية الحديثة للمؤسسات المالية.</w:t>
      </w:r>
    </w:p>
    <w:p w14:paraId="75CACD62" w14:textId="5A47836E" w:rsidR="003C7DD9" w:rsidRDefault="003C7DD9">
      <w:pPr>
        <w:pStyle w:val="ListParagraph"/>
        <w:numPr>
          <w:ilvl w:val="0"/>
          <w:numId w:val="8"/>
        </w:numPr>
        <w:ind w:left="567" w:hanging="567"/>
        <w:rPr>
          <w:lang w:bidi="ar-EG"/>
        </w:rPr>
      </w:pPr>
      <w:r>
        <w:rPr>
          <w:rFonts w:hint="cs"/>
          <w:rtl/>
          <w:lang w:bidi="ar-EG"/>
        </w:rPr>
        <w:t>كما يمكن تمويل هذه الصناديق الوقفية من تغيير أعيان الأوقاف القائمة عديمة أو ضعيفة الإنتاجية بالاستبدال والمعاوضة والمناقلة.</w:t>
      </w:r>
    </w:p>
    <w:p w14:paraId="3DE05D05" w14:textId="55D504C8" w:rsidR="003C7DD9" w:rsidRDefault="003C7DD9" w:rsidP="003C7DD9">
      <w:pPr>
        <w:pStyle w:val="Heading2"/>
        <w:rPr>
          <w:rtl/>
          <w:lang w:bidi="ar-EG"/>
        </w:rPr>
      </w:pPr>
      <w:r>
        <w:rPr>
          <w:rFonts w:hint="cs"/>
          <w:rtl/>
          <w:lang w:bidi="ar-EG"/>
        </w:rPr>
        <w:t>أنواع الصناديق الوقفية المقترح إنشاؤها:</w:t>
      </w:r>
    </w:p>
    <w:p w14:paraId="7AF411F3" w14:textId="3DE641DF" w:rsidR="003C7DD9" w:rsidRDefault="003C7DD9" w:rsidP="003C7DD9">
      <w:pPr>
        <w:rPr>
          <w:rtl/>
          <w:lang w:bidi="ar-EG"/>
        </w:rPr>
      </w:pPr>
      <w:r>
        <w:rPr>
          <w:rFonts w:hint="cs"/>
          <w:rtl/>
          <w:lang w:bidi="ar-EG"/>
        </w:rPr>
        <w:t>لا حصر لهذه الأنواع، حيث يمكن تعدد هذه الصناديق بتعدد الأغراض التي يتغيّاها الواقفون، والتي يحتاج إليها المجتمع، ويمكن أن تشمل هذه الأنواع ما يلي:</w:t>
      </w:r>
    </w:p>
    <w:p w14:paraId="6CA13EFB" w14:textId="133E0835" w:rsidR="003C7DD9" w:rsidRDefault="003C7DD9">
      <w:pPr>
        <w:pStyle w:val="ListParagraph"/>
        <w:numPr>
          <w:ilvl w:val="0"/>
          <w:numId w:val="9"/>
        </w:numPr>
        <w:ind w:left="567" w:hanging="567"/>
        <w:rPr>
          <w:lang w:bidi="ar-EG"/>
        </w:rPr>
      </w:pPr>
      <w:r>
        <w:rPr>
          <w:rFonts w:hint="cs"/>
          <w:rtl/>
          <w:lang w:bidi="ar-EG"/>
        </w:rPr>
        <w:lastRenderedPageBreak/>
        <w:t>الصندوق الوقفي للنقود المخصصة لقروض استثمارات المشروعات الصغيرة والمتناهية الصغر.</w:t>
      </w:r>
    </w:p>
    <w:p w14:paraId="62CA8606" w14:textId="633FBBA5" w:rsidR="003C7DD9" w:rsidRDefault="003C7DD9">
      <w:pPr>
        <w:pStyle w:val="ListParagraph"/>
        <w:numPr>
          <w:ilvl w:val="0"/>
          <w:numId w:val="9"/>
        </w:numPr>
        <w:ind w:left="567" w:hanging="567"/>
        <w:rPr>
          <w:lang w:bidi="ar-EG"/>
        </w:rPr>
      </w:pPr>
      <w:r>
        <w:rPr>
          <w:rFonts w:hint="cs"/>
          <w:rtl/>
          <w:lang w:bidi="ar-EG"/>
        </w:rPr>
        <w:t>الصندوق الوقفي للنقود لرعاية الأرامل واليتامى وذوي الاحتياجات الخاصة ومرضى الأمراض المزمنة.</w:t>
      </w:r>
    </w:p>
    <w:p w14:paraId="0B124074" w14:textId="5E13126A" w:rsidR="003C7DD9" w:rsidRDefault="003C7DD9">
      <w:pPr>
        <w:pStyle w:val="ListParagraph"/>
        <w:numPr>
          <w:ilvl w:val="0"/>
          <w:numId w:val="9"/>
        </w:numPr>
        <w:ind w:left="567" w:hanging="567"/>
        <w:rPr>
          <w:lang w:bidi="ar-EG"/>
        </w:rPr>
      </w:pPr>
      <w:r>
        <w:rPr>
          <w:rFonts w:hint="cs"/>
          <w:rtl/>
          <w:lang w:bidi="ar-EG"/>
        </w:rPr>
        <w:t>الصندوق الوقفي للنقود لإقامة مراكز أبحاث علمية مكافئة لمراكز الأبحاث العالمية في كافة مجالات البحث العلمي، إلى غير ذلك من أنواع الصناديق الوقفية الاستثمارية التي لا حصر لأغراضها ونشاطها.</w:t>
      </w:r>
    </w:p>
    <w:p w14:paraId="26CF46FE" w14:textId="3C70D173" w:rsidR="003C7DD9" w:rsidRDefault="003C7DD9" w:rsidP="003C7DD9">
      <w:pPr>
        <w:pStyle w:val="Heading3"/>
        <w:rPr>
          <w:rtl/>
          <w:lang w:bidi="ar-EG"/>
        </w:rPr>
      </w:pPr>
      <w:r>
        <w:rPr>
          <w:rFonts w:hint="cs"/>
          <w:rtl/>
          <w:lang w:bidi="ar-EG"/>
        </w:rPr>
        <w:t xml:space="preserve">تنبيه: </w:t>
      </w:r>
    </w:p>
    <w:p w14:paraId="1AC650ED" w14:textId="2E7550E7" w:rsidR="003C7DD9" w:rsidRDefault="003C7DD9" w:rsidP="003C7DD9">
      <w:pPr>
        <w:rPr>
          <w:rtl/>
          <w:lang w:bidi="ar-EG"/>
        </w:rPr>
      </w:pPr>
      <w:r>
        <w:rPr>
          <w:rFonts w:hint="cs"/>
          <w:rtl/>
          <w:lang w:bidi="ar-EG"/>
        </w:rPr>
        <w:t>ننبه هنا إلى أمرين: (أولهما): إمكانية تلقي كل صندوق ودائع نقدية وقفية، وقفًا مؤبدًا، أو وقفًا مؤقتًا بحسب رغبات أصحاب الفوائض المالية، (والثاني): تولي إدارة الصندوق استثمار رأس مال الصندوق في مجالات الاستثمار الحقيق المباشر وغير المباشر والإنفاق على غرض الصندوق من أرباح الاستثمار، لا من رأس المال وذلك حتى يظل رأس المال باقيًا لأطول فترة زمنية ممكنة ومحققًا لمنافع ومصالح عامة مستقبلية لا حدود لها، وملحقًا بالواقف ثوابًا جاريًا في حياته وبعد مماته، وذلك في إطار المحافظة على ديمومة النفع العام وعلى دوام العين الموقوفة.</w:t>
      </w:r>
    </w:p>
    <w:p w14:paraId="48E58133" w14:textId="26E181EF" w:rsidR="003C7DD9" w:rsidRDefault="003C7DD9" w:rsidP="003C7DD9">
      <w:pPr>
        <w:pStyle w:val="Heading2"/>
        <w:rPr>
          <w:rtl/>
          <w:lang w:bidi="ar-EG"/>
        </w:rPr>
      </w:pPr>
      <w:r>
        <w:rPr>
          <w:rFonts w:hint="cs"/>
          <w:rtl/>
          <w:lang w:bidi="ar-EG"/>
        </w:rPr>
        <w:t>المصطلح الثالث: المال:</w:t>
      </w:r>
    </w:p>
    <w:p w14:paraId="7302E87A" w14:textId="5438C9AB" w:rsidR="003C7DD9" w:rsidRDefault="003C7DD9" w:rsidP="003C7DD9">
      <w:pPr>
        <w:rPr>
          <w:rtl/>
          <w:lang w:bidi="ar-EG"/>
        </w:rPr>
      </w:pPr>
      <w:r>
        <w:rPr>
          <w:rFonts w:hint="cs"/>
          <w:rtl/>
          <w:lang w:bidi="ar-EG"/>
        </w:rPr>
        <w:t>جاء في المعجم الوجيز: المال: كل ما يملكه الفرد أو الجماعة من متاع، أو عروض تجارة أو عقارًا أو نقودًا أو حيوان، وجمعه: أموال، والمموِّل: من ينفق على عمل ما</w:t>
      </w:r>
      <w:r w:rsidRPr="0046333C">
        <w:rPr>
          <w:rFonts w:hint="cs"/>
          <w:vertAlign w:val="superscript"/>
          <w:rtl/>
          <w:lang w:bidi="ar-EG"/>
        </w:rPr>
        <w:t>(</w:t>
      </w:r>
      <w:r w:rsidRPr="0046333C">
        <w:rPr>
          <w:vertAlign w:val="superscript"/>
          <w:rtl/>
        </w:rPr>
        <w:footnoteReference w:id="14"/>
      </w:r>
      <w:r w:rsidRPr="0046333C">
        <w:rPr>
          <w:rFonts w:hint="cs"/>
          <w:vertAlign w:val="superscript"/>
          <w:rtl/>
          <w:lang w:bidi="ar-EG"/>
        </w:rPr>
        <w:t>)</w:t>
      </w:r>
      <w:r>
        <w:rPr>
          <w:rFonts w:hint="cs"/>
          <w:rtl/>
          <w:lang w:bidi="ar-EG"/>
        </w:rPr>
        <w:t xml:space="preserve"> وعرفه الشاطبي في الموافقات بأنه: </w:t>
      </w:r>
      <w:r>
        <w:rPr>
          <w:rtl/>
          <w:lang w:bidi="ar-EG"/>
        </w:rPr>
        <w:t>«</w:t>
      </w:r>
      <w:r w:rsidR="00A74E8C">
        <w:rPr>
          <w:rFonts w:hint="cs"/>
          <w:rtl/>
          <w:lang w:bidi="ar-EG"/>
        </w:rPr>
        <w:t xml:space="preserve">ما يقع عليه الملْك، ويستبدْ به المالك عن غيره إذا أخذه من وجهه، ويستوي في ذلك الطعام والشراب واللباس على اختلافها وما </w:t>
      </w:r>
      <w:r w:rsidR="00A74E8C">
        <w:rPr>
          <w:rFonts w:hint="cs"/>
          <w:rtl/>
          <w:lang w:bidi="ar-EG"/>
        </w:rPr>
        <w:lastRenderedPageBreak/>
        <w:t>يؤدي إليها من جميع المتمولات</w:t>
      </w:r>
      <w:r w:rsidR="00A74E8C" w:rsidRPr="0046333C">
        <w:rPr>
          <w:rFonts w:hint="cs"/>
          <w:vertAlign w:val="superscript"/>
          <w:rtl/>
          <w:lang w:bidi="ar-EG"/>
        </w:rPr>
        <w:t>(</w:t>
      </w:r>
      <w:r w:rsidR="00A74E8C" w:rsidRPr="0046333C">
        <w:rPr>
          <w:vertAlign w:val="superscript"/>
          <w:rtl/>
        </w:rPr>
        <w:footnoteReference w:id="15"/>
      </w:r>
      <w:r w:rsidR="00A74E8C" w:rsidRPr="0046333C">
        <w:rPr>
          <w:rFonts w:hint="cs"/>
          <w:vertAlign w:val="superscript"/>
          <w:rtl/>
          <w:lang w:bidi="ar-EG"/>
        </w:rPr>
        <w:t>)</w:t>
      </w:r>
      <w:r w:rsidR="00A74E8C">
        <w:rPr>
          <w:rtl/>
          <w:lang w:bidi="ar-EG"/>
        </w:rPr>
        <w:t>»</w:t>
      </w:r>
      <w:r w:rsidR="00A74E8C">
        <w:rPr>
          <w:rFonts w:hint="cs"/>
          <w:rtl/>
          <w:lang w:bidi="ar-EG"/>
        </w:rPr>
        <w:t xml:space="preserve"> وعرفه السيوطي في الأشباه والنظائر بأنه: </w:t>
      </w:r>
      <w:r w:rsidR="00A74E8C">
        <w:rPr>
          <w:rtl/>
          <w:lang w:bidi="ar-EG"/>
        </w:rPr>
        <w:t>«</w:t>
      </w:r>
      <w:r w:rsidR="00A74E8C">
        <w:rPr>
          <w:rFonts w:hint="cs"/>
          <w:rtl/>
          <w:lang w:bidi="ar-EG"/>
        </w:rPr>
        <w:t>كل ما له قيمة يباع بها، وتلزم متلفه وإن قلّت</w:t>
      </w:r>
      <w:r w:rsidR="00A74E8C" w:rsidRPr="0046333C">
        <w:rPr>
          <w:rFonts w:hint="cs"/>
          <w:vertAlign w:val="superscript"/>
          <w:rtl/>
          <w:lang w:bidi="ar-EG"/>
        </w:rPr>
        <w:t>(</w:t>
      </w:r>
      <w:r w:rsidR="00A74E8C" w:rsidRPr="0046333C">
        <w:rPr>
          <w:vertAlign w:val="superscript"/>
          <w:rtl/>
        </w:rPr>
        <w:footnoteReference w:id="16"/>
      </w:r>
      <w:r w:rsidR="00A74E8C" w:rsidRPr="0046333C">
        <w:rPr>
          <w:rFonts w:hint="cs"/>
          <w:vertAlign w:val="superscript"/>
          <w:rtl/>
          <w:lang w:bidi="ar-EG"/>
        </w:rPr>
        <w:t>)</w:t>
      </w:r>
      <w:r w:rsidR="00A74E8C">
        <w:rPr>
          <w:rtl/>
          <w:lang w:bidi="ar-EG"/>
        </w:rPr>
        <w:t>»</w:t>
      </w:r>
      <w:r w:rsidR="00A74E8C">
        <w:rPr>
          <w:rFonts w:hint="cs"/>
          <w:rtl/>
          <w:lang w:bidi="ar-EG"/>
        </w:rPr>
        <w:t xml:space="preserve"> ويمكننا تعريفه بأنه </w:t>
      </w:r>
      <w:r w:rsidR="00A74E8C">
        <w:rPr>
          <w:rtl/>
          <w:lang w:bidi="ar-EG"/>
        </w:rPr>
        <w:t>«</w:t>
      </w:r>
      <w:r w:rsidR="00A74E8C">
        <w:rPr>
          <w:rFonts w:hint="cs"/>
          <w:rtl/>
          <w:lang w:bidi="ar-EG"/>
        </w:rPr>
        <w:t>كل ما فيه منفعة مباحة شرعًا، ويمكن ادخاره لوقت الحاجة من الأعيان والمنافع والحقوق المالية من كل ما له قيمة سوقية</w:t>
      </w:r>
      <w:r w:rsidR="00A74E8C">
        <w:rPr>
          <w:rtl/>
          <w:lang w:bidi="ar-EG"/>
        </w:rPr>
        <w:t>»</w:t>
      </w:r>
      <w:r w:rsidR="00A74E8C">
        <w:rPr>
          <w:rFonts w:hint="cs"/>
          <w:rtl/>
          <w:lang w:bidi="ar-EG"/>
        </w:rPr>
        <w:t>.</w:t>
      </w:r>
    </w:p>
    <w:p w14:paraId="329C5F3F" w14:textId="1FF3E74E" w:rsidR="00A74E8C" w:rsidRDefault="00A74E8C" w:rsidP="003C7DD9">
      <w:pPr>
        <w:rPr>
          <w:rtl/>
          <w:lang w:bidi="ar-EG"/>
        </w:rPr>
      </w:pPr>
      <w:r>
        <w:rPr>
          <w:rFonts w:hint="cs"/>
          <w:rtl/>
          <w:lang w:bidi="ar-EG"/>
        </w:rPr>
        <w:t>وقد ورد المال في اللفظ القرآني الكريم في ست وثمانين موضعًا، حيث جاء مفردًا، وجمعًا، ومعرّفًا، ومنكرًّا، ومضافًا، ومنقطعًا عن الإضافة وذلك بما يدل على عظيم نظرة الشارع الإسلامي إليه وتقديره لآثاره في الحياة وقد قدّم اللفظ القرآني الكريم المال على النفس والولد في معظم الآيات التي جمعت بينهما وذلك بما يدل على منزلته وتجاوب القرآن مع غريزة حبه لدى الإنسان واعترافه بسلطانه على النفس البشرية.</w:t>
      </w:r>
    </w:p>
    <w:p w14:paraId="16E723A5" w14:textId="0256BE2D" w:rsidR="00A74E8C" w:rsidRDefault="00A74E8C" w:rsidP="003C7DD9">
      <w:pPr>
        <w:rPr>
          <w:rtl/>
          <w:lang w:bidi="ar-EG"/>
        </w:rPr>
      </w:pPr>
      <w:r>
        <w:rPr>
          <w:rFonts w:hint="cs"/>
          <w:rtl/>
          <w:lang w:bidi="ar-EG"/>
        </w:rPr>
        <w:t>وقد تعددت إضافات المال إلى الذات الإلهية الحكيمة في بعض آيات القرآن الكريم، فهو مال الله، وهو فضل الله وهو رزق الله</w:t>
      </w:r>
      <w:r w:rsidRPr="0046333C">
        <w:rPr>
          <w:rFonts w:hint="cs"/>
          <w:vertAlign w:val="superscript"/>
          <w:rtl/>
          <w:lang w:bidi="ar-EG"/>
        </w:rPr>
        <w:t>(</w:t>
      </w:r>
      <w:r w:rsidRPr="0046333C">
        <w:rPr>
          <w:vertAlign w:val="superscript"/>
          <w:rtl/>
        </w:rPr>
        <w:footnoteReference w:id="17"/>
      </w:r>
      <w:r w:rsidRPr="0046333C">
        <w:rPr>
          <w:rFonts w:hint="cs"/>
          <w:vertAlign w:val="superscript"/>
          <w:rtl/>
          <w:lang w:bidi="ar-EG"/>
        </w:rPr>
        <w:t>)</w:t>
      </w:r>
      <w:r>
        <w:rPr>
          <w:rFonts w:hint="cs"/>
          <w:rtl/>
          <w:lang w:bidi="ar-EG"/>
        </w:rPr>
        <w:t>،</w:t>
      </w:r>
      <w:r w:rsidR="0054438C">
        <w:rPr>
          <w:rFonts w:hint="cs"/>
          <w:rtl/>
          <w:lang w:bidi="ar-EG"/>
        </w:rPr>
        <w:t xml:space="preserve"> وذلك بما يدل على أن المالك الحقيقي له هو الله عز وجل، وأن ملكية الإنسان له ملكية استخلاف مؤقتة وزائلة وليست ملكية أصلية</w:t>
      </w:r>
      <w:r w:rsidR="0054438C" w:rsidRPr="0046333C">
        <w:rPr>
          <w:rFonts w:hint="cs"/>
          <w:vertAlign w:val="superscript"/>
          <w:rtl/>
          <w:lang w:bidi="ar-EG"/>
        </w:rPr>
        <w:t>(</w:t>
      </w:r>
      <w:r w:rsidR="0054438C" w:rsidRPr="0046333C">
        <w:rPr>
          <w:vertAlign w:val="superscript"/>
          <w:rtl/>
        </w:rPr>
        <w:footnoteReference w:id="18"/>
      </w:r>
      <w:r w:rsidR="0054438C" w:rsidRPr="0046333C">
        <w:rPr>
          <w:rFonts w:hint="cs"/>
          <w:vertAlign w:val="superscript"/>
          <w:rtl/>
          <w:lang w:bidi="ar-EG"/>
        </w:rPr>
        <w:t>)</w:t>
      </w:r>
      <w:r w:rsidR="0054438C">
        <w:rPr>
          <w:rFonts w:hint="cs"/>
          <w:rtl/>
          <w:lang w:bidi="ar-EG"/>
        </w:rPr>
        <w:t>، وقاصرة فقط على حق الانتفاع المقيّد بما شرعه الله من أحكام للمحافظة عليه من العبث والتبديد والضياع والسَّفه والترف واتخاذه وسيلة للطغيان واستعباد الغير وانحراف السلوك والفساد في الأرض.</w:t>
      </w:r>
    </w:p>
    <w:p w14:paraId="77A59CD7" w14:textId="738B7F05" w:rsidR="0054438C" w:rsidRDefault="0054438C" w:rsidP="003C7DD9">
      <w:pPr>
        <w:rPr>
          <w:rtl/>
          <w:lang w:bidi="ar-EG"/>
        </w:rPr>
      </w:pPr>
      <w:r>
        <w:rPr>
          <w:rFonts w:hint="cs"/>
          <w:rtl/>
          <w:lang w:bidi="ar-EG"/>
        </w:rPr>
        <w:lastRenderedPageBreak/>
        <w:t>والوقف من الطرق المشروعة لنقل ملكية المال وقطع تصرف الواقف في رقبة الموقوف الذي يدوم الانتفاع به وإتاحة ثمراته لمنافع الغير مع جواز الاستثناء فيه بالشرط فإذا أضفنا المال إلى الوقف وقلنا مال الوقف فإن هذه الإضافة تفيد ما يلي:</w:t>
      </w:r>
    </w:p>
    <w:p w14:paraId="6D71C42F" w14:textId="61AE383B" w:rsidR="0054438C" w:rsidRDefault="0054438C">
      <w:pPr>
        <w:pStyle w:val="ListParagraph"/>
        <w:numPr>
          <w:ilvl w:val="0"/>
          <w:numId w:val="10"/>
        </w:numPr>
        <w:ind w:left="567" w:hanging="567"/>
        <w:rPr>
          <w:lang w:bidi="ar-EG"/>
        </w:rPr>
      </w:pPr>
      <w:r>
        <w:rPr>
          <w:rFonts w:hint="cs"/>
          <w:rtl/>
          <w:lang w:bidi="ar-EG"/>
        </w:rPr>
        <w:t>إن ملكية المال ومنافعه قد انتقلت من الواقف باعتباره شخصًا طبيعيًا إلى الذمة المالية للوقف باعتباره شخصًا اعتباريًا.</w:t>
      </w:r>
    </w:p>
    <w:p w14:paraId="4443A9E3" w14:textId="303C172B" w:rsidR="0054438C" w:rsidRDefault="0054438C">
      <w:pPr>
        <w:pStyle w:val="ListParagraph"/>
        <w:numPr>
          <w:ilvl w:val="0"/>
          <w:numId w:val="10"/>
        </w:numPr>
        <w:ind w:left="567" w:hanging="567"/>
        <w:rPr>
          <w:lang w:bidi="ar-EG"/>
        </w:rPr>
      </w:pPr>
      <w:r>
        <w:rPr>
          <w:rFonts w:hint="cs"/>
          <w:rtl/>
          <w:lang w:bidi="ar-EG"/>
        </w:rPr>
        <w:t>قطع تصرف الواقف في رقبة الموقوف.</w:t>
      </w:r>
    </w:p>
    <w:p w14:paraId="32E1D4BF" w14:textId="649571D1" w:rsidR="0054438C" w:rsidRDefault="0054438C">
      <w:pPr>
        <w:pStyle w:val="ListParagraph"/>
        <w:numPr>
          <w:ilvl w:val="0"/>
          <w:numId w:val="10"/>
        </w:numPr>
        <w:ind w:left="567" w:hanging="567"/>
        <w:rPr>
          <w:lang w:bidi="ar-EG"/>
        </w:rPr>
      </w:pPr>
      <w:r>
        <w:rPr>
          <w:rFonts w:hint="cs"/>
          <w:rtl/>
          <w:lang w:bidi="ar-EG"/>
        </w:rPr>
        <w:t xml:space="preserve">انصراف عبارة مال الوقف إلى كل الأصول الرأسمالية الموقوفة، والموجودات المتداولة، والنقد الحاضر، الذي يواجه به الوقف مصروفاته العادية وحقوق المستحقين كما تنصرف كذلك إلى كل الطيبات النافعة التي تشبع حاجات الناس، فإن المنافع كما يقول القاضي عبد الوهاب في المعونة: </w:t>
      </w:r>
      <w:r>
        <w:rPr>
          <w:rtl/>
          <w:lang w:bidi="ar-EG"/>
        </w:rPr>
        <w:t>«</w:t>
      </w:r>
      <w:r>
        <w:rPr>
          <w:rFonts w:hint="cs"/>
          <w:rtl/>
          <w:lang w:bidi="ar-EG"/>
        </w:rPr>
        <w:t>المنافع في معنى المال</w:t>
      </w:r>
      <w:r>
        <w:rPr>
          <w:rtl/>
          <w:lang w:bidi="ar-EG"/>
        </w:rPr>
        <w:t>»</w:t>
      </w:r>
      <w:r w:rsidRPr="0046333C">
        <w:rPr>
          <w:rFonts w:hint="cs"/>
          <w:vertAlign w:val="superscript"/>
          <w:rtl/>
          <w:lang w:bidi="ar-EG"/>
        </w:rPr>
        <w:t>(</w:t>
      </w:r>
      <w:r w:rsidRPr="0046333C">
        <w:rPr>
          <w:vertAlign w:val="superscript"/>
          <w:rtl/>
        </w:rPr>
        <w:footnoteReference w:id="19"/>
      </w:r>
      <w:r w:rsidRPr="0046333C">
        <w:rPr>
          <w:rFonts w:hint="cs"/>
          <w:vertAlign w:val="superscript"/>
          <w:rtl/>
          <w:lang w:bidi="ar-EG"/>
        </w:rPr>
        <w:t>)</w:t>
      </w:r>
      <w:r>
        <w:rPr>
          <w:rFonts w:hint="cs"/>
          <w:rtl/>
          <w:lang w:bidi="ar-EG"/>
        </w:rPr>
        <w:t xml:space="preserve"> وهي أيضًا كما يقول ابن قدامة في المغني: </w:t>
      </w:r>
      <w:r>
        <w:rPr>
          <w:rtl/>
          <w:lang w:bidi="ar-EG"/>
        </w:rPr>
        <w:t>«</w:t>
      </w:r>
      <w:r>
        <w:rPr>
          <w:rFonts w:hint="cs"/>
          <w:rtl/>
          <w:lang w:bidi="ar-EG"/>
        </w:rPr>
        <w:t>المنافع تجري مجرى الأعيان</w:t>
      </w:r>
      <w:r>
        <w:rPr>
          <w:rtl/>
          <w:lang w:bidi="ar-EG"/>
        </w:rPr>
        <w:t>»</w:t>
      </w:r>
      <w:r w:rsidRPr="0046333C">
        <w:rPr>
          <w:rFonts w:hint="cs"/>
          <w:vertAlign w:val="superscript"/>
          <w:rtl/>
          <w:lang w:bidi="ar-EG"/>
        </w:rPr>
        <w:t>(</w:t>
      </w:r>
      <w:r w:rsidRPr="0046333C">
        <w:rPr>
          <w:vertAlign w:val="superscript"/>
          <w:rtl/>
        </w:rPr>
        <w:footnoteReference w:id="20"/>
      </w:r>
      <w:r w:rsidRPr="0046333C">
        <w:rPr>
          <w:rFonts w:hint="cs"/>
          <w:vertAlign w:val="superscript"/>
          <w:rtl/>
          <w:lang w:bidi="ar-EG"/>
        </w:rPr>
        <w:t>)</w:t>
      </w:r>
      <w:r>
        <w:rPr>
          <w:rFonts w:hint="cs"/>
          <w:rtl/>
          <w:lang w:bidi="ar-EG"/>
        </w:rPr>
        <w:t>.</w:t>
      </w:r>
    </w:p>
    <w:p w14:paraId="4E8FF482" w14:textId="72A0846E" w:rsidR="0054438C" w:rsidRDefault="0054438C" w:rsidP="0054438C">
      <w:pPr>
        <w:pStyle w:val="Heading2"/>
        <w:rPr>
          <w:rtl/>
          <w:lang w:bidi="ar-EG"/>
        </w:rPr>
      </w:pPr>
      <w:r>
        <w:rPr>
          <w:rFonts w:hint="cs"/>
          <w:rtl/>
          <w:lang w:bidi="ar-EG"/>
        </w:rPr>
        <w:t>المصطلح الرابع: الأعيان والمنافع والحقوق:</w:t>
      </w:r>
    </w:p>
    <w:p w14:paraId="4E7B2D45" w14:textId="044580F2" w:rsidR="0054438C" w:rsidRDefault="0054438C">
      <w:pPr>
        <w:pStyle w:val="ListParagraph"/>
        <w:numPr>
          <w:ilvl w:val="0"/>
          <w:numId w:val="11"/>
        </w:numPr>
        <w:ind w:left="567" w:hanging="567"/>
        <w:rPr>
          <w:lang w:bidi="ar-EG"/>
        </w:rPr>
      </w:pPr>
      <w:r w:rsidRPr="0054438C">
        <w:rPr>
          <w:rFonts w:cs="Mohammad Bold Normal" w:hint="cs"/>
          <w:sz w:val="24"/>
          <w:szCs w:val="24"/>
          <w:rtl/>
          <w:lang w:bidi="ar-EG"/>
        </w:rPr>
        <w:t>الأعيان</w:t>
      </w:r>
      <w:r w:rsidRPr="0054438C">
        <w:rPr>
          <w:rFonts w:hint="cs"/>
          <w:sz w:val="24"/>
          <w:szCs w:val="24"/>
          <w:rtl/>
          <w:lang w:bidi="ar-EG"/>
        </w:rPr>
        <w:t xml:space="preserve"> </w:t>
      </w:r>
      <w:r>
        <w:rPr>
          <w:rFonts w:hint="cs"/>
          <w:rtl/>
          <w:lang w:bidi="ar-EG"/>
        </w:rPr>
        <w:t>هي: كل ما له جُرْم ومادة محسوسة تشغل حيّزًا مكانيًا ولو صغيرًا، من جميع الأشياء والأموال المادية مثل: العقارات، والمنقولات المادية والحيوانات.</w:t>
      </w:r>
    </w:p>
    <w:p w14:paraId="6D222327" w14:textId="6242D886" w:rsidR="0054438C" w:rsidRDefault="0054438C">
      <w:pPr>
        <w:pStyle w:val="ListParagraph"/>
        <w:numPr>
          <w:ilvl w:val="0"/>
          <w:numId w:val="11"/>
        </w:numPr>
        <w:ind w:left="567" w:hanging="567"/>
        <w:rPr>
          <w:lang w:bidi="ar-EG"/>
        </w:rPr>
      </w:pPr>
      <w:r>
        <w:rPr>
          <w:rFonts w:cs="Mohammad Bold Normal" w:hint="cs"/>
          <w:sz w:val="24"/>
          <w:szCs w:val="24"/>
          <w:rtl/>
          <w:lang w:bidi="ar-EG"/>
        </w:rPr>
        <w:lastRenderedPageBreak/>
        <w:t xml:space="preserve">الحقوق: </w:t>
      </w:r>
      <w:r w:rsidRPr="0054438C">
        <w:rPr>
          <w:rFonts w:hint="cs"/>
          <w:rtl/>
          <w:lang w:bidi="ar-EG"/>
        </w:rPr>
        <w:t>الحق</w:t>
      </w:r>
      <w:r>
        <w:rPr>
          <w:rFonts w:hint="cs"/>
          <w:rtl/>
          <w:lang w:bidi="ar-EG"/>
        </w:rPr>
        <w:t xml:space="preserve"> في اللغة هو: الأمر الثابت بيقين وبلا شك</w:t>
      </w:r>
      <w:r w:rsidRPr="0046333C">
        <w:rPr>
          <w:rFonts w:hint="cs"/>
          <w:vertAlign w:val="superscript"/>
          <w:rtl/>
          <w:lang w:bidi="ar-EG"/>
        </w:rPr>
        <w:t>(</w:t>
      </w:r>
      <w:r w:rsidRPr="0046333C">
        <w:rPr>
          <w:vertAlign w:val="superscript"/>
          <w:rtl/>
        </w:rPr>
        <w:footnoteReference w:id="21"/>
      </w:r>
      <w:r w:rsidRPr="0046333C">
        <w:rPr>
          <w:rFonts w:hint="cs"/>
          <w:vertAlign w:val="superscript"/>
          <w:rtl/>
          <w:lang w:bidi="ar-EG"/>
        </w:rPr>
        <w:t>)</w:t>
      </w:r>
      <w:r>
        <w:rPr>
          <w:rFonts w:hint="cs"/>
          <w:rtl/>
          <w:lang w:bidi="ar-EG"/>
        </w:rPr>
        <w:t xml:space="preserve"> وفي اصطلاح</w:t>
      </w:r>
      <w:r w:rsidR="00A465C6">
        <w:rPr>
          <w:rFonts w:hint="cs"/>
          <w:rtl/>
          <w:lang w:bidi="ar-EG"/>
        </w:rPr>
        <w:t xml:space="preserve"> الفقهاء هو: مصلحة ثابتة للشخص يقرها الشارع الحكيم على سبيل الاختصاص والاستئثار</w:t>
      </w:r>
      <w:r w:rsidR="00A465C6" w:rsidRPr="0046333C">
        <w:rPr>
          <w:rFonts w:hint="cs"/>
          <w:vertAlign w:val="superscript"/>
          <w:rtl/>
          <w:lang w:bidi="ar-EG"/>
        </w:rPr>
        <w:t>(</w:t>
      </w:r>
      <w:r w:rsidR="00A465C6" w:rsidRPr="0046333C">
        <w:rPr>
          <w:vertAlign w:val="superscript"/>
          <w:rtl/>
        </w:rPr>
        <w:footnoteReference w:id="22"/>
      </w:r>
      <w:r w:rsidR="00A465C6" w:rsidRPr="0046333C">
        <w:rPr>
          <w:rFonts w:hint="cs"/>
          <w:vertAlign w:val="superscript"/>
          <w:rtl/>
          <w:lang w:bidi="ar-EG"/>
        </w:rPr>
        <w:t>)</w:t>
      </w:r>
      <w:r w:rsidR="00A465C6">
        <w:rPr>
          <w:rFonts w:hint="cs"/>
          <w:rtl/>
          <w:lang w:bidi="ar-EG"/>
        </w:rPr>
        <w:t>، وهو: اختصاص يقرر به الشرع سلطة أو تكليفًا</w:t>
      </w:r>
      <w:r w:rsidR="00A465C6" w:rsidRPr="0046333C">
        <w:rPr>
          <w:rFonts w:hint="cs"/>
          <w:vertAlign w:val="superscript"/>
          <w:rtl/>
          <w:lang w:bidi="ar-EG"/>
        </w:rPr>
        <w:t>(</w:t>
      </w:r>
      <w:r w:rsidR="00A465C6" w:rsidRPr="0046333C">
        <w:rPr>
          <w:vertAlign w:val="superscript"/>
          <w:rtl/>
        </w:rPr>
        <w:footnoteReference w:id="23"/>
      </w:r>
      <w:r w:rsidR="00A465C6" w:rsidRPr="0046333C">
        <w:rPr>
          <w:rFonts w:hint="cs"/>
          <w:vertAlign w:val="superscript"/>
          <w:rtl/>
          <w:lang w:bidi="ar-EG"/>
        </w:rPr>
        <w:t>)</w:t>
      </w:r>
      <w:r w:rsidR="00A465C6">
        <w:rPr>
          <w:rFonts w:hint="cs"/>
          <w:rtl/>
          <w:lang w:bidi="ar-EG"/>
        </w:rPr>
        <w:t>.</w:t>
      </w:r>
    </w:p>
    <w:p w14:paraId="69976DB5" w14:textId="7559C62E" w:rsidR="00A465C6" w:rsidRDefault="00A465C6">
      <w:pPr>
        <w:pStyle w:val="ListParagraph"/>
        <w:numPr>
          <w:ilvl w:val="0"/>
          <w:numId w:val="11"/>
        </w:numPr>
        <w:ind w:left="567" w:hanging="567"/>
        <w:rPr>
          <w:lang w:bidi="ar-EG"/>
        </w:rPr>
      </w:pPr>
      <w:r w:rsidRPr="00A465C6">
        <w:rPr>
          <w:rFonts w:cs="Mohammad Bold Normal" w:hint="cs"/>
          <w:sz w:val="24"/>
          <w:szCs w:val="24"/>
          <w:rtl/>
          <w:lang w:bidi="ar-EG"/>
        </w:rPr>
        <w:t>المنافع هي</w:t>
      </w:r>
      <w:r>
        <w:rPr>
          <w:rFonts w:hint="cs"/>
          <w:rtl/>
          <w:lang w:bidi="ar-EG"/>
        </w:rPr>
        <w:t>: الفوائد المتحصّلة من استعمال الأعيان (الموسوعة الفقهية الكويتية، ج39، ص101) ويرى بعض الفقهاء: أن المنافع لا تطلق إلا على الفوائد غير المحسوسة التي تنال من الأشياء (مثل: سكني الدار وركوب السيارة، والتخاطب بجهاز التليفون) أما الفوائد المادية المحسوسة (مثل المحاصيل الزراعية الناتجة من الأرض وثمرات النخيل والأعناب ومياه الآبار والإيجار النقدي المتحصّل من الفنادق والدور المؤجرة) فإنها تعتبر غلالًا أو دخلًا وليست منافع راجع: أ.د/ إبراهيم فاضل الدبّو، ضمان المنافع، دار البيارق، بيروت، 1417هـ، ص249.</w:t>
      </w:r>
    </w:p>
    <w:p w14:paraId="06A1F2BA" w14:textId="25EA00BF" w:rsidR="00A465C6" w:rsidRDefault="00A465C6" w:rsidP="00BD6F91">
      <w:pPr>
        <w:rPr>
          <w:rtl/>
          <w:lang w:bidi="ar-EG"/>
        </w:rPr>
      </w:pPr>
      <w:r>
        <w:rPr>
          <w:rFonts w:hint="cs"/>
          <w:rtl/>
          <w:lang w:bidi="ar-EG"/>
        </w:rPr>
        <w:t xml:space="preserve">ويذكر ابن حجر الهيثمي في تحفة المحتاج أن من فقهاء الشافعية من يرى أن المنفعة </w:t>
      </w:r>
      <w:r w:rsidRPr="00A465C6">
        <w:rPr>
          <w:rFonts w:cs="Mohammad Bold Normal" w:hint="cs"/>
          <w:color w:val="000000" w:themeColor="text1"/>
          <w:sz w:val="24"/>
          <w:szCs w:val="24"/>
          <w:rtl/>
          <w:lang w:bidi="ar-EG"/>
        </w:rPr>
        <w:t xml:space="preserve">تطلق على الفائدة سواء كانت عينية أو عرضية (غير عينية) فتشمل </w:t>
      </w:r>
      <w:r>
        <w:rPr>
          <w:rFonts w:hint="cs"/>
          <w:rtl/>
          <w:lang w:bidi="ar-EG"/>
        </w:rPr>
        <w:t>كل ما يستفاد</w:t>
      </w:r>
      <w:r w:rsidR="00BD6F91">
        <w:rPr>
          <w:rFonts w:hint="cs"/>
          <w:rtl/>
          <w:lang w:bidi="ar-EG"/>
        </w:rPr>
        <w:t xml:space="preserve"> من الأعيان (مثل: ثمرات النخيل وأجرة الدور وسكانها وأجرة السيارات وركوبها) لأن ذلك كله معدود من منافع الأعيان، ولولاها ما طلبت الأعيان</w:t>
      </w:r>
      <w:r w:rsidR="00BD6F91" w:rsidRPr="0046333C">
        <w:rPr>
          <w:rFonts w:hint="cs"/>
          <w:vertAlign w:val="superscript"/>
          <w:rtl/>
          <w:lang w:bidi="ar-EG"/>
        </w:rPr>
        <w:t>(</w:t>
      </w:r>
      <w:r w:rsidR="00BD6F91" w:rsidRPr="0046333C">
        <w:rPr>
          <w:vertAlign w:val="superscript"/>
          <w:rtl/>
        </w:rPr>
        <w:footnoteReference w:id="24"/>
      </w:r>
      <w:r w:rsidR="00BD6F91" w:rsidRPr="0046333C">
        <w:rPr>
          <w:rFonts w:hint="cs"/>
          <w:vertAlign w:val="superscript"/>
          <w:rtl/>
          <w:lang w:bidi="ar-EG"/>
        </w:rPr>
        <w:t>)</w:t>
      </w:r>
      <w:r w:rsidR="00BD6F91">
        <w:rPr>
          <w:rFonts w:hint="cs"/>
          <w:rtl/>
          <w:lang w:bidi="ar-EG"/>
        </w:rPr>
        <w:t>.</w:t>
      </w:r>
    </w:p>
    <w:p w14:paraId="3CE1A6EF" w14:textId="73BDC6A9" w:rsidR="00BD6F91" w:rsidRDefault="00BD6F91" w:rsidP="00BD6F91">
      <w:pPr>
        <w:rPr>
          <w:rtl/>
          <w:lang w:bidi="ar-EG"/>
        </w:rPr>
      </w:pPr>
      <w:r>
        <w:rPr>
          <w:rFonts w:hint="cs"/>
          <w:rtl/>
          <w:lang w:bidi="ar-EG"/>
        </w:rPr>
        <w:t>وتطبيقًا لذلك: فإننا إذا قلنا: (الأوقاف) أو (أموال الوقف) فإنها تشمل:</w:t>
      </w:r>
    </w:p>
    <w:p w14:paraId="5A548193" w14:textId="71BA882A" w:rsidR="00BD6F91" w:rsidRDefault="00BD6F91" w:rsidP="00BD6F91">
      <w:pPr>
        <w:rPr>
          <w:rtl/>
          <w:lang w:bidi="ar-EG"/>
        </w:rPr>
      </w:pPr>
      <w:r>
        <w:rPr>
          <w:rFonts w:hint="cs"/>
          <w:rtl/>
          <w:lang w:bidi="ar-EG"/>
        </w:rPr>
        <w:lastRenderedPageBreak/>
        <w:t>أجرام أو الأعيان المادية الموقوفة، ومنافع هذه الأعيان المادية وغير المادية والحقوق المالية والمعنوية المترتبة لصالح الوقف على الغير أو المترتبة للغير على الوقف.</w:t>
      </w:r>
    </w:p>
    <w:p w14:paraId="442BB523" w14:textId="13CD634C" w:rsidR="00BD6F91" w:rsidRDefault="00BD6F91" w:rsidP="00BD6F91">
      <w:pPr>
        <w:pStyle w:val="Heading3"/>
        <w:rPr>
          <w:rtl/>
          <w:lang w:bidi="ar-EG"/>
        </w:rPr>
      </w:pPr>
      <w:r>
        <w:rPr>
          <w:rFonts w:hint="cs"/>
          <w:rtl/>
          <w:lang w:bidi="ar-EG"/>
        </w:rPr>
        <w:t>المنافع، وحقوق الانتفاع، ومعايير التفرقة بينهما:</w:t>
      </w:r>
    </w:p>
    <w:p w14:paraId="4FA7A922" w14:textId="303155B6" w:rsidR="00BD6F91" w:rsidRDefault="00BD6F91" w:rsidP="00BD6F91">
      <w:pPr>
        <w:rPr>
          <w:rtl/>
          <w:lang w:bidi="ar-EG"/>
        </w:rPr>
      </w:pPr>
      <w:r w:rsidRPr="00BD6F91">
        <w:rPr>
          <w:rFonts w:hint="cs"/>
          <w:b/>
          <w:bCs/>
          <w:rtl/>
          <w:lang w:bidi="ar-EG"/>
        </w:rPr>
        <w:t>يُعرّف حق الانتفاع بأنه:</w:t>
      </w:r>
      <w:r>
        <w:rPr>
          <w:rFonts w:hint="cs"/>
          <w:rtl/>
          <w:lang w:bidi="ar-EG"/>
        </w:rPr>
        <w:t xml:space="preserve"> الحق المقرر بمقتضى عقد أو اتفاق لشخص ما، على مال مملوك لغيره، يخوّل لصاحبه الحق في استعمال أو في استغلال هذا المال لمدة زمنية معينة ينتهي بعدها، مع احتفاظ المالك الأصلي بملكية رقبة هذا المال</w:t>
      </w:r>
      <w:r w:rsidRPr="0046333C">
        <w:rPr>
          <w:rFonts w:hint="cs"/>
          <w:vertAlign w:val="superscript"/>
          <w:rtl/>
          <w:lang w:bidi="ar-EG"/>
        </w:rPr>
        <w:t>(</w:t>
      </w:r>
      <w:r w:rsidRPr="0046333C">
        <w:rPr>
          <w:vertAlign w:val="superscript"/>
          <w:rtl/>
        </w:rPr>
        <w:footnoteReference w:id="25"/>
      </w:r>
      <w:r w:rsidRPr="0046333C">
        <w:rPr>
          <w:rFonts w:hint="cs"/>
          <w:vertAlign w:val="superscript"/>
          <w:rtl/>
          <w:lang w:bidi="ar-EG"/>
        </w:rPr>
        <w:t>)</w:t>
      </w:r>
      <w:r>
        <w:rPr>
          <w:rFonts w:hint="cs"/>
          <w:rtl/>
          <w:lang w:bidi="ar-EG"/>
        </w:rPr>
        <w:t>.</w:t>
      </w:r>
    </w:p>
    <w:p w14:paraId="4D239D75" w14:textId="4CFD7799" w:rsidR="00BD6F91" w:rsidRDefault="00BD6F91" w:rsidP="00BD6F91">
      <w:pPr>
        <w:rPr>
          <w:rtl/>
          <w:lang w:bidi="ar-EG"/>
        </w:rPr>
      </w:pPr>
      <w:r>
        <w:rPr>
          <w:rFonts w:hint="cs"/>
          <w:rtl/>
          <w:lang w:bidi="ar-EG"/>
        </w:rPr>
        <w:t>وحق الانتفاع يمكن أن يرد على جميع الأموال، سواء كانت عقارية أو منقولة، مادية أو معنوية مثل: العقارات والسيارات وبراءات الاختراع.</w:t>
      </w:r>
    </w:p>
    <w:p w14:paraId="256F44CB" w14:textId="5623D14A" w:rsidR="00BD6F91" w:rsidRDefault="00BD6F91" w:rsidP="00BD6F91">
      <w:pPr>
        <w:rPr>
          <w:rtl/>
          <w:lang w:bidi="ar-EG"/>
        </w:rPr>
      </w:pPr>
      <w:r>
        <w:rPr>
          <w:rFonts w:hint="cs"/>
          <w:rtl/>
          <w:lang w:bidi="ar-EG"/>
        </w:rPr>
        <w:t>والغالب أن يكون العقد المنشئ لحق الانتفاع من عقود التبرعات أي الهبات مثل الوقف والوصية والهبة، فإن هذه العقود من أكثر مصادر إنشاء حق الانتفاع.</w:t>
      </w:r>
    </w:p>
    <w:p w14:paraId="05CC7284" w14:textId="6A0D1D1B" w:rsidR="00BD6F91" w:rsidRPr="0054438C" w:rsidRDefault="00BD6F91" w:rsidP="00BD6F91">
      <w:pPr>
        <w:pStyle w:val="Heading4"/>
        <w:rPr>
          <w:rtl/>
          <w:lang w:bidi="ar-EG"/>
        </w:rPr>
      </w:pPr>
      <w:r>
        <w:rPr>
          <w:rFonts w:hint="cs"/>
          <w:rtl/>
          <w:lang w:bidi="ar-EG"/>
        </w:rPr>
        <w:t>معايير التفرقة بين المنفعة وحق الانتفاع:</w:t>
      </w:r>
    </w:p>
    <w:p w14:paraId="743F3BEE" w14:textId="49C368B3" w:rsidR="0046333C" w:rsidRDefault="00BD6F91" w:rsidP="0046333C">
      <w:pPr>
        <w:rPr>
          <w:rtl/>
          <w:lang w:bidi="ar-EG"/>
        </w:rPr>
      </w:pPr>
      <w:r>
        <w:rPr>
          <w:rFonts w:hint="cs"/>
          <w:rtl/>
          <w:lang w:bidi="ar-EG"/>
        </w:rPr>
        <w:t>يرى الشيخ الدكتور/ علي الخفيف</w:t>
      </w:r>
      <w:r w:rsidRPr="0046333C">
        <w:rPr>
          <w:rFonts w:hint="cs"/>
          <w:vertAlign w:val="superscript"/>
          <w:rtl/>
          <w:lang w:bidi="ar-EG"/>
        </w:rPr>
        <w:t>(</w:t>
      </w:r>
      <w:r w:rsidRPr="0046333C">
        <w:rPr>
          <w:vertAlign w:val="superscript"/>
          <w:rtl/>
        </w:rPr>
        <w:footnoteReference w:id="26"/>
      </w:r>
      <w:r w:rsidRPr="0046333C">
        <w:rPr>
          <w:rFonts w:hint="cs"/>
          <w:vertAlign w:val="superscript"/>
          <w:rtl/>
          <w:lang w:bidi="ar-EG"/>
        </w:rPr>
        <w:t>)</w:t>
      </w:r>
      <w:r>
        <w:rPr>
          <w:rFonts w:hint="cs"/>
          <w:rtl/>
          <w:lang w:bidi="ar-EG"/>
        </w:rPr>
        <w:t xml:space="preserve"> أن المنفعة صفة لصيغة في الشيء المنتفع به، وهذه الصفة قد تكون محلًا للملك، فتصير المنفعة مملوكة لمالك هذا الشيء، فيثبت له بحكم الشرع حق الانتفاع بها مثل منافع سيارات الركوب فإنها محل الملك لمالك السيارة وتخول له بحكم الشرع حق الانتفاع بها (ركوبها) أما حق الانتفاع المجرد، فإنه صفة في الشخص المنتفع بالشيء المالك لهذا الحق وهو حق مؤقت </w:t>
      </w:r>
      <w:r>
        <w:rPr>
          <w:rFonts w:hint="cs"/>
          <w:rtl/>
          <w:lang w:bidi="ar-EG"/>
        </w:rPr>
        <w:lastRenderedPageBreak/>
        <w:t>لشخص على عين مملوكة لغيره يخوّل له استعمال الشيء المنتفع به واستغلاله والتصرف في منافعه مدة الانتفاع طبقًا لما يقضى به عقد إنشاؤه.</w:t>
      </w:r>
    </w:p>
    <w:p w14:paraId="1FEA3621" w14:textId="3573BFEE" w:rsidR="00BD6F91" w:rsidRDefault="00BA2708" w:rsidP="0046333C">
      <w:pPr>
        <w:rPr>
          <w:rtl/>
          <w:lang w:bidi="ar-EG"/>
        </w:rPr>
      </w:pPr>
      <w:r w:rsidRPr="00BA2708">
        <w:rPr>
          <w:rStyle w:val="Heading4Char"/>
          <w:rFonts w:hint="cs"/>
          <w:rtl/>
        </w:rPr>
        <w:t>فالانتفاع حق عيني مستقل عن حق الملكية، يختص به مالكه،</w:t>
      </w:r>
      <w:r>
        <w:rPr>
          <w:rFonts w:hint="cs"/>
          <w:rtl/>
          <w:lang w:bidi="ar-EG"/>
        </w:rPr>
        <w:t xml:space="preserve"> وتظل ملكيته (رقبة العين) لمالكها، فإذا كان مالك العين هو المنتفع بها، فإنه يكون مالكًا للرقبة والمنفعة معًا ملكية تامة ومؤبّدة، وإن كان المنتفع بالعين غير مالك لرقبتها، فإنه يكون مالكًا للمنفعة وحدها، وعليه أن يرد العين إلى مالكها في نهاية عقد انتفاعه بها. والنتيجة لذلك هي:</w:t>
      </w:r>
    </w:p>
    <w:p w14:paraId="186E721A" w14:textId="6C2C3655" w:rsidR="00BA2708" w:rsidRDefault="00BA2708" w:rsidP="0046333C">
      <w:pPr>
        <w:rPr>
          <w:rtl/>
          <w:lang w:bidi="ar-EG"/>
        </w:rPr>
      </w:pPr>
      <w:r>
        <w:rPr>
          <w:rFonts w:hint="cs"/>
          <w:rtl/>
          <w:lang w:bidi="ar-EG"/>
        </w:rPr>
        <w:t>أن حق الانتفاع حق رتبة المشرع على ملك المنفعة، سواء كان هذا الملك تابعًا لملكية العين أم كان مستقلًّا عنه، كالمستأجر للعين والمستعير لها فإنه مالك لمنفعتها وليس لرقبتها. وتطبيقًا لذلك:</w:t>
      </w:r>
    </w:p>
    <w:p w14:paraId="225C82C2" w14:textId="618DCAF2" w:rsidR="00BA2708" w:rsidRDefault="00BA2708" w:rsidP="0046333C">
      <w:pPr>
        <w:rPr>
          <w:rtl/>
          <w:lang w:bidi="ar-EG"/>
        </w:rPr>
      </w:pPr>
      <w:r>
        <w:rPr>
          <w:rFonts w:hint="cs"/>
          <w:rtl/>
          <w:lang w:bidi="ar-EG"/>
        </w:rPr>
        <w:t>فإن حق الانتفاع المقرر للواقف في الوقف على النفس، حق مقرر على مال في حكم ملك الله تعالى، يخول للواقف الحق في استعمال واستغلال المال الموقوف مدة حياته أو لمدة زمنية معينة ينتهي بعدها مع بقاء المال في حكم ملك الله تعالى فالانتفاع بالمال الموقوف على النفس حق عيني مستقل عن حق ملكية العين، يختص به الواقف على نفسه، أما ملكية رقبة المال الموقوف فإنها تظل على حكم ملك الله تعالى، وعليه تكون ملكية الواقف على نفسه لمنافع المال الموقوف ملكيته ناقصة وليست تامة لاقتصارها على المنفعة دون الرقبة.</w:t>
      </w:r>
    </w:p>
    <w:p w14:paraId="47DDE612" w14:textId="24765B3F" w:rsidR="00BA2708" w:rsidRDefault="00BA2708" w:rsidP="00BA2708">
      <w:pPr>
        <w:pStyle w:val="Heading2"/>
        <w:rPr>
          <w:rtl/>
          <w:lang w:bidi="ar-EG"/>
        </w:rPr>
      </w:pPr>
      <w:r>
        <w:rPr>
          <w:rFonts w:hint="cs"/>
          <w:rtl/>
          <w:lang w:bidi="ar-EG"/>
        </w:rPr>
        <w:t>المصطلح الخامس: الملك والملكية:</w:t>
      </w:r>
    </w:p>
    <w:p w14:paraId="27F84AA4" w14:textId="6C5FD8C7" w:rsidR="00BA2708" w:rsidRDefault="00BA2708" w:rsidP="00BA2708">
      <w:pPr>
        <w:rPr>
          <w:rtl/>
          <w:lang w:bidi="ar-EG"/>
        </w:rPr>
      </w:pPr>
      <w:r>
        <w:rPr>
          <w:rFonts w:hint="cs"/>
          <w:rtl/>
          <w:lang w:bidi="ar-EG"/>
        </w:rPr>
        <w:t>الملكية عند فقهاء الشرعية الإسلامية هي: علاقة شرعية بين الإنسان والأشياء (الأعيان المالية) تجعله مختصًا بها اختصاصًا يمنع غيره عنها ويتيح له التصرف فيها بكل الطرق الشرعية المباحة وفي الحدود التي بينّها الشرع</w:t>
      </w:r>
      <w:r w:rsidRPr="0046333C">
        <w:rPr>
          <w:rFonts w:hint="cs"/>
          <w:vertAlign w:val="superscript"/>
          <w:rtl/>
          <w:lang w:bidi="ar-EG"/>
        </w:rPr>
        <w:t>(</w:t>
      </w:r>
      <w:r w:rsidRPr="0046333C">
        <w:rPr>
          <w:vertAlign w:val="superscript"/>
          <w:rtl/>
        </w:rPr>
        <w:footnoteReference w:id="27"/>
      </w:r>
      <w:r w:rsidRPr="0046333C">
        <w:rPr>
          <w:rFonts w:hint="cs"/>
          <w:vertAlign w:val="superscript"/>
          <w:rtl/>
          <w:lang w:bidi="ar-EG"/>
        </w:rPr>
        <w:t>)</w:t>
      </w:r>
      <w:r>
        <w:rPr>
          <w:rFonts w:hint="cs"/>
          <w:rtl/>
          <w:lang w:bidi="ar-EG"/>
        </w:rPr>
        <w:t>.</w:t>
      </w:r>
    </w:p>
    <w:p w14:paraId="60FA82D1" w14:textId="18852D26" w:rsidR="00BA2708" w:rsidRDefault="00BA2708" w:rsidP="00BA2708">
      <w:pPr>
        <w:rPr>
          <w:rtl/>
          <w:lang w:bidi="ar-EG"/>
        </w:rPr>
      </w:pPr>
      <w:r>
        <w:rPr>
          <w:rFonts w:hint="cs"/>
          <w:rtl/>
          <w:lang w:bidi="ar-EG"/>
        </w:rPr>
        <w:lastRenderedPageBreak/>
        <w:t>والمِلْك في اللغة: حيازة الشيء والانفراد بالتصرف فيه وجمعه: أملاك، وفي اصطلاح الفقهاء: اختصاص حاجز شرعًا، يسوِّغ صاحبه التصرف إلا لمانع</w:t>
      </w:r>
      <w:r w:rsidRPr="0046333C">
        <w:rPr>
          <w:rFonts w:hint="cs"/>
          <w:vertAlign w:val="superscript"/>
          <w:rtl/>
          <w:lang w:bidi="ar-EG"/>
        </w:rPr>
        <w:t>(</w:t>
      </w:r>
      <w:r w:rsidRPr="0046333C">
        <w:rPr>
          <w:vertAlign w:val="superscript"/>
          <w:rtl/>
        </w:rPr>
        <w:footnoteReference w:id="28"/>
      </w:r>
      <w:r w:rsidRPr="0046333C">
        <w:rPr>
          <w:rFonts w:hint="cs"/>
          <w:vertAlign w:val="superscript"/>
          <w:rtl/>
          <w:lang w:bidi="ar-EG"/>
        </w:rPr>
        <w:t>)</w:t>
      </w:r>
      <w:r>
        <w:rPr>
          <w:rFonts w:hint="cs"/>
          <w:rtl/>
          <w:lang w:bidi="ar-EG"/>
        </w:rPr>
        <w:t xml:space="preserve"> (مثل: نقص الأهلية، وتعلق حق الغير بالمال).</w:t>
      </w:r>
    </w:p>
    <w:p w14:paraId="52009CA7" w14:textId="487FE150" w:rsidR="00BA2708" w:rsidRDefault="00BA2708" w:rsidP="00BA2708">
      <w:pPr>
        <w:rPr>
          <w:rtl/>
          <w:lang w:bidi="ar-EG"/>
        </w:rPr>
      </w:pPr>
      <w:r>
        <w:rPr>
          <w:rFonts w:hint="cs"/>
          <w:rtl/>
          <w:lang w:bidi="ar-EG"/>
        </w:rPr>
        <w:t>وتقع الملكية على الأعيان المادية، وعلى منافع الأعيان، وعلى الحقوق المترتبة على الأعيان وليست الملكية شيئًا ماديًا، وإنما هي حق أقر الشرع به علاقة اختصاصية بين الإنسان والمال، والفرق بين الملكية والمال، أن الملكية حق يقع على المال، وأما المال فهو موجودات أو أشياء مادية ذات منافع.</w:t>
      </w:r>
    </w:p>
    <w:p w14:paraId="31975595" w14:textId="6AB7CB3F" w:rsidR="00084432" w:rsidRDefault="00084432" w:rsidP="00BA2708">
      <w:pPr>
        <w:rPr>
          <w:rtl/>
          <w:lang w:bidi="ar-EG"/>
        </w:rPr>
      </w:pPr>
      <w:r w:rsidRPr="00084432">
        <w:rPr>
          <w:rStyle w:val="Heading4Char"/>
          <w:rFonts w:hint="cs"/>
          <w:rtl/>
        </w:rPr>
        <w:t>وتنشأ ملكية الوقف لأعيانه بتحرير الواقف لوثيقة إنشاء وقفه</w:t>
      </w:r>
      <w:r>
        <w:rPr>
          <w:rFonts w:hint="cs"/>
          <w:rtl/>
          <w:lang w:bidi="ar-EG"/>
        </w:rPr>
        <w:t>، والتي ينقل بموجبها ملكية العين الموقوفة ومنافعها إلى حكم ملك الله تعالى أو إلى الأشخاص أو الجهات الموقوف عليها بحسب اختلاف الفقهاء في تعيين هذه الجهة، فالوقف إذن سبب ناقل للملكية من المالك الأصلي إليه.</w:t>
      </w:r>
    </w:p>
    <w:p w14:paraId="3689BB45" w14:textId="4D10BAD6" w:rsidR="00084432" w:rsidRDefault="00084432" w:rsidP="00BA2708">
      <w:pPr>
        <w:rPr>
          <w:rtl/>
          <w:lang w:bidi="ar-EG"/>
        </w:rPr>
      </w:pPr>
      <w:r>
        <w:rPr>
          <w:rFonts w:hint="cs"/>
          <w:rtl/>
          <w:lang w:bidi="ar-EG"/>
        </w:rPr>
        <w:t>والأصل أن ملكية الوقف باعتباره شخصًا معنويًا يتمتع بذمة مالية مستقلة ملكيته تامة تقع على ذات المال الموقوف ومادته، وعلى منافعه، إلا إذا اشترط الواقف الاحتفاظ لنفسه بمنافع العين مدة حياته أو لمدة زمنية معنية، فإنه ينفذ شرطه ويصح وقفه، وتنتقل منافع العين بعد موته إلى الوقف، حيث تتحول ملكية الوقف للعين من ملكية ناقصة قاصرة على الرقبة فقط إلى مليكة تامة واقعة على الرقبة، والمنفعة معًا.</w:t>
      </w:r>
    </w:p>
    <w:p w14:paraId="0B92BB1F" w14:textId="77777777" w:rsidR="00FA4C92" w:rsidRDefault="00084432" w:rsidP="00084432">
      <w:pPr>
        <w:rPr>
          <w:rtl/>
        </w:rPr>
      </w:pPr>
      <w:r w:rsidRPr="00084432">
        <w:rPr>
          <w:rStyle w:val="Heading4Char"/>
          <w:rFonts w:hint="cs"/>
          <w:rtl/>
        </w:rPr>
        <w:t>خصائص ملكية الوقف لأمواله:</w:t>
      </w:r>
      <w:r>
        <w:rPr>
          <w:rFonts w:hint="cs"/>
          <w:rtl/>
          <w:lang w:bidi="ar-EG"/>
        </w:rPr>
        <w:t xml:space="preserve"> </w:t>
      </w:r>
      <w:r w:rsidRPr="00084432">
        <w:rPr>
          <w:rFonts w:hint="cs"/>
          <w:rtl/>
        </w:rPr>
        <w:t>إن</w:t>
      </w:r>
      <w:r>
        <w:rPr>
          <w:rFonts w:hint="cs"/>
          <w:rtl/>
        </w:rPr>
        <w:t xml:space="preserve"> الوقف باعتباره أحد عقود التبرعات يقبل بطبيعته أن تكون ملكيته لأعيان أمواله ملكية تامة إن كان مطلقًا ومجردًا عن أي شرط يستثنى منافع العين للواقف لمدة معينة، كما يقبل أن تكون ملكيته ناقصة إن اقترن إنشاؤه بهذا الشرط، كما أن ملكية الوقف لأمواله تتميز بخاصية ثانية وهي أنها ملكية مؤبدة لا </w:t>
      </w:r>
      <w:r>
        <w:rPr>
          <w:rFonts w:hint="cs"/>
          <w:rtl/>
        </w:rPr>
        <w:lastRenderedPageBreak/>
        <w:t>تقبل التوقيت في الوقف المؤبد عند غير المجيزين للوقف المؤقت من الفقهاء، وإلا فإنها عند هذا الفريق ملكية مؤبدة لكنها تقبل التوقيت، وذلك خلافًا لملكية الواقف لمنافع المال الموقوف في الوقف على النفس فإنها ملكية مؤقته، متى انقضت مدة انتفاع الواقف بالعين انقطع حق انتفاعه بها وعادت ملكية المنافع إلى الوقف، كما أن ملكية الوقف لأمواله تتميز بخاصية ثالثة وهي أنها ملكية شائعة</w:t>
      </w:r>
      <w:r w:rsidR="00FA4C92">
        <w:rPr>
          <w:rFonts w:hint="cs"/>
          <w:rtl/>
        </w:rPr>
        <w:t xml:space="preserve"> بين كل من شملهم وصف استحقاق منافع الأعيان من الموقوف عليهم في الوقف المطلق، وذلك بما يمتنع على صاحب الحصة الشائعة من المنافع أن يمسّ حقوق بقية المستحقين من الموقوف عليهم، وذلك حيث لا يجوز له إتلاف حصته لأنه يستتبع إتلاف حصة غيره.</w:t>
      </w:r>
    </w:p>
    <w:p w14:paraId="74F1D680" w14:textId="77777777" w:rsidR="00FA4C92" w:rsidRDefault="00FA4C92">
      <w:pPr>
        <w:spacing w:before="0" w:after="120" w:line="240" w:lineRule="auto"/>
        <w:ind w:firstLine="0"/>
        <w:jc w:val="left"/>
        <w:rPr>
          <w:rtl/>
        </w:rPr>
      </w:pPr>
      <w:r>
        <w:rPr>
          <w:rtl/>
        </w:rPr>
        <w:br w:type="page"/>
      </w:r>
    </w:p>
    <w:p w14:paraId="58474179" w14:textId="77777777" w:rsidR="00FA4C92" w:rsidRDefault="00FA4C92" w:rsidP="00FA4C92">
      <w:pPr>
        <w:pStyle w:val="Heading1"/>
        <w:rPr>
          <w:rtl/>
        </w:rPr>
      </w:pPr>
      <w:r>
        <w:rPr>
          <w:rFonts w:hint="cs"/>
          <w:rtl/>
        </w:rPr>
        <w:lastRenderedPageBreak/>
        <w:t>الفصـــل الثانـــي</w:t>
      </w:r>
      <w:r>
        <w:rPr>
          <w:rtl/>
        </w:rPr>
        <w:br/>
      </w:r>
      <w:r>
        <w:rPr>
          <w:rFonts w:hint="cs"/>
          <w:rtl/>
        </w:rPr>
        <w:t>مذاهـــب العلمــاء في الوقـــف على النفــــس</w:t>
      </w:r>
    </w:p>
    <w:p w14:paraId="5E267580" w14:textId="77777777" w:rsidR="00FA4C92" w:rsidRDefault="00FA4C92" w:rsidP="00FA4C92">
      <w:pPr>
        <w:rPr>
          <w:rtl/>
        </w:rPr>
      </w:pPr>
      <w:r>
        <w:rPr>
          <w:rFonts w:hint="cs"/>
          <w:rtl/>
        </w:rPr>
        <w:t xml:space="preserve">تتمحور قضية البحث في هذا الفصل حول الإجابة على مجموعة من الأسئلة من أهمها: </w:t>
      </w:r>
    </w:p>
    <w:p w14:paraId="6A78C8D4" w14:textId="77777777" w:rsidR="00FA4C92" w:rsidRDefault="00FA4C92">
      <w:pPr>
        <w:pStyle w:val="ListParagraph"/>
        <w:numPr>
          <w:ilvl w:val="0"/>
          <w:numId w:val="12"/>
        </w:numPr>
        <w:ind w:left="567" w:hanging="567"/>
        <w:rPr>
          <w:lang w:bidi="ar-EG"/>
        </w:rPr>
      </w:pPr>
      <w:r>
        <w:rPr>
          <w:rFonts w:hint="cs"/>
          <w:rtl/>
        </w:rPr>
        <w:t>هل يجوز أن تتكون صيغة إنشاء الوقف من عبارة: وقفت هذا المال أو الشيء على نفس طيلة حياته ثم لمستشفى 57357 بعد موتي؟</w:t>
      </w:r>
    </w:p>
    <w:p w14:paraId="532C5232" w14:textId="77777777" w:rsidR="00FA4C92" w:rsidRDefault="00FA4C92">
      <w:pPr>
        <w:pStyle w:val="ListParagraph"/>
        <w:numPr>
          <w:ilvl w:val="0"/>
          <w:numId w:val="12"/>
        </w:numPr>
        <w:ind w:left="567" w:hanging="567"/>
        <w:rPr>
          <w:lang w:bidi="ar-EG"/>
        </w:rPr>
      </w:pPr>
      <w:r>
        <w:rPr>
          <w:rFonts w:hint="cs"/>
          <w:rtl/>
        </w:rPr>
        <w:t>وإذا كان الجواب بالنفي فهل يجوز أن يشترط الواقف الانتفاع بريع وقفه أو من ريعه إذا توفر فيه شرط استحقاق الريع مثل أن يقف مليون جنيه لسداد ديون الغارمين العاجزين عن الوفاء بديونهم من أرباح استثمار مبلغ الوقف، ثم أصبح الواقف مدينًا وعاجزًا عن سداد ديونه.</w:t>
      </w:r>
    </w:p>
    <w:p w14:paraId="2641A8C9" w14:textId="77777777" w:rsidR="00085D06" w:rsidRDefault="00085D06" w:rsidP="00085D06">
      <w:pPr>
        <w:pStyle w:val="Heading2"/>
        <w:rPr>
          <w:rtl/>
        </w:rPr>
      </w:pPr>
      <w:r>
        <w:rPr>
          <w:rFonts w:hint="cs"/>
          <w:rtl/>
        </w:rPr>
        <w:t>تحرير محل النزاع في قضية البحث:</w:t>
      </w:r>
    </w:p>
    <w:p w14:paraId="77BDCFC5" w14:textId="77777777" w:rsidR="00085D06" w:rsidRDefault="00085D06" w:rsidP="00085D06">
      <w:pPr>
        <w:rPr>
          <w:rtl/>
        </w:rPr>
      </w:pPr>
      <w:r>
        <w:rPr>
          <w:rFonts w:hint="cs"/>
          <w:rtl/>
        </w:rPr>
        <w:t>يتلخص محل النزاع في هذه القضية في اختلاف الفقهاء حول القضايا الفرعية التالية:</w:t>
      </w:r>
    </w:p>
    <w:p w14:paraId="0F5FAD94" w14:textId="77777777" w:rsidR="004B3B17" w:rsidRDefault="004B3B17">
      <w:pPr>
        <w:pStyle w:val="ListParagraph"/>
        <w:numPr>
          <w:ilvl w:val="0"/>
          <w:numId w:val="13"/>
        </w:numPr>
        <w:ind w:left="567" w:hanging="567"/>
        <w:rPr>
          <w:lang w:bidi="ar-EG"/>
        </w:rPr>
      </w:pPr>
      <w:r>
        <w:rPr>
          <w:rFonts w:hint="cs"/>
          <w:rtl/>
        </w:rPr>
        <w:t>النظر إلى ملكية العين الموقوفة، هل تنتقل عن الواقف أم تظل مملوكة له؟</w:t>
      </w:r>
    </w:p>
    <w:p w14:paraId="035523E2" w14:textId="77777777" w:rsidR="004B3B17" w:rsidRDefault="004B3B17">
      <w:pPr>
        <w:pStyle w:val="ListParagraph"/>
        <w:numPr>
          <w:ilvl w:val="0"/>
          <w:numId w:val="13"/>
        </w:numPr>
        <w:ind w:left="567" w:hanging="567"/>
        <w:rPr>
          <w:lang w:bidi="ar-EG"/>
        </w:rPr>
      </w:pPr>
      <w:r>
        <w:rPr>
          <w:rFonts w:hint="cs"/>
          <w:rtl/>
        </w:rPr>
        <w:t>هل الوقف تبرع لازم لا يجوز للواقف التصرف في عينه أم هو تبرع جائز وغير لازم؟</w:t>
      </w:r>
    </w:p>
    <w:p w14:paraId="46603396" w14:textId="30AD7247" w:rsidR="00084432" w:rsidRDefault="004B3B17">
      <w:pPr>
        <w:pStyle w:val="ListParagraph"/>
        <w:numPr>
          <w:ilvl w:val="0"/>
          <w:numId w:val="13"/>
        </w:numPr>
        <w:ind w:left="567" w:hanging="567"/>
        <w:rPr>
          <w:lang w:bidi="ar-EG"/>
        </w:rPr>
      </w:pPr>
      <w:r>
        <w:rPr>
          <w:rFonts w:hint="cs"/>
          <w:rtl/>
        </w:rPr>
        <w:t>هل الملكية في الوقف ملكية تامة (رقبة ومنفعة)</w:t>
      </w:r>
      <w:r w:rsidR="00084432">
        <w:rPr>
          <w:rFonts w:hint="cs"/>
          <w:rtl/>
        </w:rPr>
        <w:t xml:space="preserve"> </w:t>
      </w:r>
      <w:r>
        <w:rPr>
          <w:rFonts w:hint="cs"/>
          <w:rtl/>
        </w:rPr>
        <w:t>أم هي مجرد تمليك للمنفعة دون الرقبة. وقد جاءت مذاهب الفقهاء في هذا الاختلاف على النحو التالي:</w:t>
      </w:r>
    </w:p>
    <w:p w14:paraId="3F3B6A10" w14:textId="47F93FB1" w:rsidR="004B3B17" w:rsidRDefault="004B3B17">
      <w:pPr>
        <w:pStyle w:val="ListParagraph"/>
        <w:numPr>
          <w:ilvl w:val="0"/>
          <w:numId w:val="14"/>
        </w:numPr>
        <w:ind w:left="924" w:hanging="567"/>
        <w:rPr>
          <w:lang w:bidi="ar-EG"/>
        </w:rPr>
      </w:pPr>
      <w:r>
        <w:rPr>
          <w:rFonts w:hint="cs"/>
          <w:rtl/>
          <w:lang w:bidi="ar-EG"/>
        </w:rPr>
        <w:t>ذهب الإمام أبو حنيفة</w:t>
      </w:r>
      <w:r w:rsidRPr="0046333C">
        <w:rPr>
          <w:rFonts w:hint="cs"/>
          <w:vertAlign w:val="superscript"/>
          <w:rtl/>
          <w:lang w:bidi="ar-EG"/>
        </w:rPr>
        <w:t>(</w:t>
      </w:r>
      <w:r w:rsidRPr="0046333C">
        <w:rPr>
          <w:vertAlign w:val="superscript"/>
          <w:rtl/>
        </w:rPr>
        <w:footnoteReference w:id="29"/>
      </w:r>
      <w:r w:rsidRPr="0046333C">
        <w:rPr>
          <w:rFonts w:hint="cs"/>
          <w:vertAlign w:val="superscript"/>
          <w:rtl/>
          <w:lang w:bidi="ar-EG"/>
        </w:rPr>
        <w:t>)</w:t>
      </w:r>
      <w:r>
        <w:rPr>
          <w:rFonts w:hint="cs"/>
          <w:rtl/>
          <w:lang w:bidi="ar-EG"/>
        </w:rPr>
        <w:t xml:space="preserve"> إلى أن</w:t>
      </w:r>
      <w:r w:rsidR="00EF755D">
        <w:rPr>
          <w:rFonts w:hint="cs"/>
          <w:rtl/>
          <w:lang w:bidi="ar-EG"/>
        </w:rPr>
        <w:t xml:space="preserve"> ملكية العين الموقوفة لا تنتقل عن الواقف وأن الوقف عقد غير لازم وإنما هو تبرع جائز إلا في ثلاث صور على سبيل </w:t>
      </w:r>
      <w:r w:rsidR="00EF755D">
        <w:rPr>
          <w:rFonts w:hint="cs"/>
          <w:rtl/>
          <w:lang w:bidi="ar-EG"/>
        </w:rPr>
        <w:lastRenderedPageBreak/>
        <w:t>الحصر وهي: أن يحكم القاضي بلزومه، أو أن يخرج الوقف مخرج الوصية أو أن تكون العين مسجدًا للصلاة، وفي غير هذه الصور يجوز للواقف الرجوع عن الوقف والتصرف في العين بجميع التصرفات الناقلة للملكية.</w:t>
      </w:r>
    </w:p>
    <w:p w14:paraId="56F277F7" w14:textId="18B0FA69" w:rsidR="00EF755D" w:rsidRDefault="00EF755D">
      <w:pPr>
        <w:pStyle w:val="ListParagraph"/>
        <w:numPr>
          <w:ilvl w:val="0"/>
          <w:numId w:val="14"/>
        </w:numPr>
        <w:ind w:left="924" w:hanging="567"/>
        <w:rPr>
          <w:lang w:bidi="ar-EG"/>
        </w:rPr>
      </w:pPr>
      <w:r>
        <w:rPr>
          <w:rFonts w:hint="cs"/>
          <w:rtl/>
          <w:lang w:bidi="ar-EG"/>
        </w:rPr>
        <w:t>ذهب الإمامان أبو يوسف ومحمد بن الحسن صاحبا أبي حنيفة إلى أن الوقف تبرع لازم، وأن العين الموقوفة تخرج عن ملك واقفها وتصير في حكم ملك الله تعالى وليس للواقف الرجوع في وقفه ولا التصرف في العين، وهو المفتي به عند الحنفية</w:t>
      </w:r>
      <w:r w:rsidRPr="0046333C">
        <w:rPr>
          <w:rFonts w:hint="cs"/>
          <w:vertAlign w:val="superscript"/>
          <w:rtl/>
          <w:lang w:bidi="ar-EG"/>
        </w:rPr>
        <w:t>(</w:t>
      </w:r>
      <w:r w:rsidRPr="0046333C">
        <w:rPr>
          <w:vertAlign w:val="superscript"/>
          <w:rtl/>
        </w:rPr>
        <w:footnoteReference w:id="30"/>
      </w:r>
      <w:r w:rsidRPr="0046333C">
        <w:rPr>
          <w:rFonts w:hint="cs"/>
          <w:vertAlign w:val="superscript"/>
          <w:rtl/>
          <w:lang w:bidi="ar-EG"/>
        </w:rPr>
        <w:t>)</w:t>
      </w:r>
      <w:r>
        <w:rPr>
          <w:rFonts w:hint="cs"/>
          <w:rtl/>
          <w:lang w:bidi="ar-EG"/>
        </w:rPr>
        <w:t xml:space="preserve"> وهذا المذهب هو مذهب جمهور فقهاء الشافعية ورواية عند الحنابلة.</w:t>
      </w:r>
    </w:p>
    <w:p w14:paraId="3F1A3B31" w14:textId="6DFE56F3" w:rsidR="00EF755D" w:rsidRDefault="00EF755D">
      <w:pPr>
        <w:pStyle w:val="ListParagraph"/>
        <w:numPr>
          <w:ilvl w:val="0"/>
          <w:numId w:val="14"/>
        </w:numPr>
        <w:ind w:left="924" w:hanging="567"/>
        <w:rPr>
          <w:lang w:bidi="ar-EG"/>
        </w:rPr>
      </w:pPr>
      <w:r>
        <w:rPr>
          <w:rFonts w:hint="cs"/>
          <w:rtl/>
          <w:lang w:bidi="ar-EG"/>
        </w:rPr>
        <w:t>ذهب جمهور فقهاء المالكية إلى بقاء العين الموقوفة على ملك الواقف مع منعه من التصرف فيها</w:t>
      </w:r>
      <w:r w:rsidRPr="0046333C">
        <w:rPr>
          <w:rFonts w:hint="cs"/>
          <w:vertAlign w:val="superscript"/>
          <w:rtl/>
          <w:lang w:bidi="ar-EG"/>
        </w:rPr>
        <w:t>(</w:t>
      </w:r>
      <w:r w:rsidRPr="0046333C">
        <w:rPr>
          <w:vertAlign w:val="superscript"/>
          <w:rtl/>
        </w:rPr>
        <w:footnoteReference w:id="31"/>
      </w:r>
      <w:r w:rsidRPr="0046333C">
        <w:rPr>
          <w:rFonts w:hint="cs"/>
          <w:vertAlign w:val="superscript"/>
          <w:rtl/>
          <w:lang w:bidi="ar-EG"/>
        </w:rPr>
        <w:t>)</w:t>
      </w:r>
      <w:r>
        <w:rPr>
          <w:rFonts w:hint="cs"/>
          <w:rtl/>
          <w:lang w:bidi="ar-EG"/>
        </w:rPr>
        <w:t>، وهذا المذهب رأى عند الشافعية والحنابلة.</w:t>
      </w:r>
    </w:p>
    <w:p w14:paraId="1B830517" w14:textId="164693BF" w:rsidR="00EF755D" w:rsidRDefault="00EF755D">
      <w:pPr>
        <w:pStyle w:val="ListParagraph"/>
        <w:numPr>
          <w:ilvl w:val="0"/>
          <w:numId w:val="14"/>
        </w:numPr>
        <w:ind w:left="924" w:hanging="567"/>
        <w:rPr>
          <w:lang w:bidi="ar-EG"/>
        </w:rPr>
      </w:pPr>
      <w:r>
        <w:rPr>
          <w:rFonts w:hint="cs"/>
          <w:rtl/>
          <w:lang w:bidi="ar-EG"/>
        </w:rPr>
        <w:t>وفي رواية عند الشافعية وعلى ظاهر مذهب الحنابلة أن الموقوف عليهم يمتلكون العين الموقوفة مليكة ناقصة قاصرة على المنفعة دون الرقبة حيث لهم الانتفاع فقط بالغلّة، وليس لأحد التصرف في العين الموقوفة</w:t>
      </w:r>
      <w:r w:rsidRPr="0046333C">
        <w:rPr>
          <w:rFonts w:hint="cs"/>
          <w:vertAlign w:val="superscript"/>
          <w:rtl/>
          <w:lang w:bidi="ar-EG"/>
        </w:rPr>
        <w:t>(</w:t>
      </w:r>
      <w:r w:rsidRPr="0046333C">
        <w:rPr>
          <w:vertAlign w:val="superscript"/>
          <w:rtl/>
        </w:rPr>
        <w:footnoteReference w:id="32"/>
      </w:r>
      <w:r w:rsidRPr="0046333C">
        <w:rPr>
          <w:rFonts w:hint="cs"/>
          <w:vertAlign w:val="superscript"/>
          <w:rtl/>
          <w:lang w:bidi="ar-EG"/>
        </w:rPr>
        <w:t>)</w:t>
      </w:r>
      <w:r>
        <w:rPr>
          <w:rFonts w:hint="cs"/>
          <w:rtl/>
          <w:lang w:bidi="ar-EG"/>
        </w:rPr>
        <w:t xml:space="preserve"> وبناءً على ما تقدم: فقد جاءت أقوال الفقهاء في الوقف على النفس كما يلي:</w:t>
      </w:r>
    </w:p>
    <w:p w14:paraId="609221DA" w14:textId="6900DF93" w:rsidR="00EF755D" w:rsidRDefault="00EF755D" w:rsidP="00EF755D">
      <w:pPr>
        <w:pStyle w:val="Heading3"/>
        <w:ind w:left="567" w:hanging="567"/>
        <w:rPr>
          <w:rtl/>
          <w:lang w:bidi="ar-EG"/>
        </w:rPr>
      </w:pPr>
      <w:r>
        <w:rPr>
          <w:rFonts w:hint="cs"/>
          <w:rtl/>
          <w:lang w:bidi="ar-EG"/>
        </w:rPr>
        <w:t>(1)</w:t>
      </w:r>
      <w:r>
        <w:rPr>
          <w:rtl/>
          <w:lang w:bidi="ar-EG"/>
        </w:rPr>
        <w:tab/>
      </w:r>
      <w:r>
        <w:rPr>
          <w:rFonts w:hint="cs"/>
          <w:rtl/>
          <w:lang w:bidi="ar-EG"/>
        </w:rPr>
        <w:t>اشترط الإمام أبو حنيفة في الواقف:</w:t>
      </w:r>
    </w:p>
    <w:p w14:paraId="203CB95D" w14:textId="3EED98CD" w:rsidR="00EF755D" w:rsidRDefault="00EF755D" w:rsidP="00EF755D">
      <w:pPr>
        <w:rPr>
          <w:rtl/>
          <w:lang w:bidi="ar-EG"/>
        </w:rPr>
      </w:pPr>
      <w:r>
        <w:rPr>
          <w:rFonts w:hint="cs"/>
          <w:rtl/>
          <w:lang w:bidi="ar-EG"/>
        </w:rPr>
        <w:t xml:space="preserve">لجواز وقفه، أن يخرجه الواقف من يده، ويجعل له قيمًّا (ناظرًا) ويسلمّه إليه، وإلى هذا ذهب الإمام محمد بن الحسن واستدل الإمامان على ما ذهبا إليه بأن الوقف </w:t>
      </w:r>
      <w:r>
        <w:rPr>
          <w:rFonts w:hint="cs"/>
          <w:rtl/>
          <w:lang w:bidi="ar-EG"/>
        </w:rPr>
        <w:lastRenderedPageBreak/>
        <w:t>إخراج المال عن الملك على وجه الصدقة، فلا يصح بدون التسليم كسائر التصرفات، والتسليم في الوقف عندهما أ، يجعل له قيمًّا ويسلمه إليه، وبهذا يزول ملك الواقف عن المال الموقوف</w:t>
      </w:r>
      <w:r w:rsidRPr="0046333C">
        <w:rPr>
          <w:rFonts w:hint="cs"/>
          <w:vertAlign w:val="superscript"/>
          <w:rtl/>
          <w:lang w:bidi="ar-EG"/>
        </w:rPr>
        <w:t>(</w:t>
      </w:r>
      <w:r w:rsidRPr="0046333C">
        <w:rPr>
          <w:vertAlign w:val="superscript"/>
          <w:rtl/>
        </w:rPr>
        <w:footnoteReference w:id="33"/>
      </w:r>
      <w:r w:rsidRPr="0046333C">
        <w:rPr>
          <w:rFonts w:hint="cs"/>
          <w:vertAlign w:val="superscript"/>
          <w:rtl/>
          <w:lang w:bidi="ar-EG"/>
        </w:rPr>
        <w:t>)</w:t>
      </w:r>
      <w:r>
        <w:rPr>
          <w:rFonts w:hint="cs"/>
          <w:rtl/>
          <w:lang w:bidi="ar-EG"/>
        </w:rPr>
        <w:t>.</w:t>
      </w:r>
    </w:p>
    <w:p w14:paraId="11252EA3" w14:textId="72B2F23F" w:rsidR="00691C9C" w:rsidRDefault="00C76C1F" w:rsidP="00C76C1F">
      <w:pPr>
        <w:pStyle w:val="Heading3"/>
        <w:ind w:left="567" w:hanging="567"/>
        <w:rPr>
          <w:rtl/>
          <w:lang w:bidi="ar-EG"/>
        </w:rPr>
      </w:pPr>
      <w:r>
        <w:rPr>
          <w:rFonts w:hint="cs"/>
          <w:rtl/>
          <w:lang w:bidi="ar-EG"/>
        </w:rPr>
        <w:t>(2)</w:t>
      </w:r>
      <w:r>
        <w:rPr>
          <w:rtl/>
          <w:lang w:bidi="ar-EG"/>
        </w:rPr>
        <w:tab/>
      </w:r>
      <w:r>
        <w:rPr>
          <w:rFonts w:hint="cs"/>
          <w:rtl/>
          <w:lang w:bidi="ar-EG"/>
        </w:rPr>
        <w:t>لم يشترط الإمام أبو يوسف:</w:t>
      </w:r>
    </w:p>
    <w:p w14:paraId="2B371DB5" w14:textId="77D65A34" w:rsidR="00C76C1F" w:rsidRDefault="00C76C1F" w:rsidP="00C76C1F">
      <w:pPr>
        <w:rPr>
          <w:rtl/>
          <w:lang w:bidi="ar-EG"/>
        </w:rPr>
      </w:pPr>
      <w:r>
        <w:rPr>
          <w:rFonts w:hint="cs"/>
          <w:rtl/>
          <w:lang w:bidi="ar-EG"/>
        </w:rPr>
        <w:t>أن يخرج الواقف العين الموقوفة من يده ولا أن يجعل للوقف قيمًّا ويسلّمه إياها، واصْبَحّ بما روى أن سيدنا عمر بن الخطاب رضي الله عنه، وقف، وكان يتولى أمر وقفه بنفسه وكان في يده، وبما روى عن سيدنا علي بن أبي طالب رضي الله عنه أنه كان يفعل كذلك، كما احتجّ بأن الوقف إزالة الملك لا إلى أحد فلا يشترط فيه التسلم.</w:t>
      </w:r>
    </w:p>
    <w:p w14:paraId="06E3436F" w14:textId="2F7CE9B8" w:rsidR="00C76C1F" w:rsidRDefault="00C76C1F" w:rsidP="00C76C1F">
      <w:pPr>
        <w:rPr>
          <w:rtl/>
          <w:lang w:bidi="ar-EG"/>
        </w:rPr>
      </w:pPr>
      <w:r>
        <w:rPr>
          <w:rFonts w:hint="cs"/>
          <w:rtl/>
          <w:lang w:bidi="ar-EG"/>
        </w:rPr>
        <w:t>وبناءً على الخلاف الجاري بين أئمة المذهب الحنفي في أيلولة ملكية العين الموقوفة فقد انتهى فقهاء المذهب في موضوع الوقف على النفس، أو اشتراط الواقف لنفسه شيئًا من منافع الواقف، انتهوا إلى القول بما يلي:</w:t>
      </w:r>
    </w:p>
    <w:p w14:paraId="29EFF13E" w14:textId="6E3147FA" w:rsidR="00C76C1F" w:rsidRPr="00C76C1F" w:rsidRDefault="00C76C1F">
      <w:pPr>
        <w:pStyle w:val="ListParagraph"/>
        <w:numPr>
          <w:ilvl w:val="0"/>
          <w:numId w:val="15"/>
        </w:numPr>
        <w:ind w:left="567" w:hanging="567"/>
        <w:rPr>
          <w:lang w:bidi="ar-EG"/>
        </w:rPr>
      </w:pPr>
      <w:r>
        <w:rPr>
          <w:rFonts w:hint="cs"/>
          <w:rtl/>
          <w:lang w:bidi="ar-EG"/>
        </w:rPr>
        <w:t>قال السرخسي في المبسوط</w:t>
      </w:r>
      <w:r>
        <w:rPr>
          <w:rFonts w:cs="Cambria" w:hint="cs"/>
          <w:rtl/>
          <w:lang w:bidi="ar-EG"/>
        </w:rPr>
        <w:t xml:space="preserve">: </w:t>
      </w:r>
      <w:r>
        <w:rPr>
          <w:rtl/>
          <w:lang w:bidi="ar-EG"/>
        </w:rPr>
        <w:t>«</w:t>
      </w:r>
      <w:r>
        <w:rPr>
          <w:rFonts w:hint="cs"/>
          <w:rtl/>
          <w:lang w:bidi="ar-EG"/>
        </w:rPr>
        <w:t>قال أبو يوسف يجوز أن يجعل الغلة لنفس ما دام حيًّا</w:t>
      </w:r>
      <w:r w:rsidRPr="0046333C">
        <w:rPr>
          <w:rFonts w:hint="cs"/>
          <w:vertAlign w:val="superscript"/>
          <w:rtl/>
          <w:lang w:bidi="ar-EG"/>
        </w:rPr>
        <w:t>(</w:t>
      </w:r>
      <w:r w:rsidRPr="0046333C">
        <w:rPr>
          <w:vertAlign w:val="superscript"/>
          <w:rtl/>
        </w:rPr>
        <w:footnoteReference w:id="34"/>
      </w:r>
      <w:r w:rsidRPr="0046333C">
        <w:rPr>
          <w:rFonts w:hint="cs"/>
          <w:vertAlign w:val="superscript"/>
          <w:rtl/>
          <w:lang w:bidi="ar-EG"/>
        </w:rPr>
        <w:t>)</w:t>
      </w:r>
      <w:r>
        <w:rPr>
          <w:rtl/>
          <w:lang w:bidi="ar-EG"/>
        </w:rPr>
        <w:t>»</w:t>
      </w:r>
      <w:r>
        <w:rPr>
          <w:rFonts w:ascii="Cambria" w:hAnsi="Cambria" w:cs="Cambria" w:hint="cs"/>
          <w:rtl/>
          <w:lang w:bidi="ar-EG"/>
        </w:rPr>
        <w:t>.</w:t>
      </w:r>
    </w:p>
    <w:p w14:paraId="74BFB1B5" w14:textId="16E25A50" w:rsidR="00C76C1F" w:rsidRDefault="00C76C1F">
      <w:pPr>
        <w:pStyle w:val="ListParagraph"/>
        <w:numPr>
          <w:ilvl w:val="0"/>
          <w:numId w:val="15"/>
        </w:numPr>
        <w:ind w:left="567" w:hanging="567"/>
        <w:rPr>
          <w:lang w:bidi="ar-EG"/>
        </w:rPr>
      </w:pPr>
      <w:r>
        <w:rPr>
          <w:rFonts w:hint="cs"/>
          <w:rtl/>
          <w:lang w:bidi="ar-EG"/>
        </w:rPr>
        <w:t xml:space="preserve">قال الكاساني في بدائع الصنائع: </w:t>
      </w:r>
      <w:r>
        <w:rPr>
          <w:rtl/>
          <w:lang w:bidi="ar-EG"/>
        </w:rPr>
        <w:t>«</w:t>
      </w:r>
      <w:r>
        <w:rPr>
          <w:rFonts w:hint="cs"/>
          <w:rtl/>
          <w:lang w:bidi="ar-EG"/>
        </w:rPr>
        <w:t>وهل يشترط أن لا يشترط الواقف لنفس من منافع الوقف شيئًا؟ عند أبي يوسف: ليس بشرط، وعند محمد: شرط وجه قول محمد أن هذا (الوقف) إخراج المال إلى الله تعالى وجعله خالصًا له وشرط الانتفاع لنفسه يمنع الإخلاص، فيمنع جواز الوقف، ولأبي يوسف ما روى عن سيدنا عمر بن الخطاب رضي الله عنه أنه وقف وشرط في وقفه لا جناح على من وَليته (أي تولى نظارته) أن يأكل منه بالمعروف، وكان يلي أمر وقفه بنفسه</w:t>
      </w:r>
      <w:r w:rsidRPr="0046333C">
        <w:rPr>
          <w:rFonts w:hint="cs"/>
          <w:vertAlign w:val="superscript"/>
          <w:rtl/>
          <w:lang w:bidi="ar-EG"/>
        </w:rPr>
        <w:t>(</w:t>
      </w:r>
      <w:r w:rsidRPr="0046333C">
        <w:rPr>
          <w:vertAlign w:val="superscript"/>
          <w:rtl/>
        </w:rPr>
        <w:footnoteReference w:id="35"/>
      </w:r>
      <w:r w:rsidRPr="0046333C">
        <w:rPr>
          <w:rFonts w:hint="cs"/>
          <w:vertAlign w:val="superscript"/>
          <w:rtl/>
          <w:lang w:bidi="ar-EG"/>
        </w:rPr>
        <w:t>)</w:t>
      </w:r>
      <w:r>
        <w:rPr>
          <w:rtl/>
          <w:lang w:bidi="ar-EG"/>
        </w:rPr>
        <w:t>»</w:t>
      </w:r>
      <w:r>
        <w:rPr>
          <w:rFonts w:hint="cs"/>
          <w:rtl/>
          <w:lang w:bidi="ar-EG"/>
        </w:rPr>
        <w:t>.</w:t>
      </w:r>
    </w:p>
    <w:p w14:paraId="438672A8" w14:textId="5B0A9B46" w:rsidR="00C76C1F" w:rsidRDefault="00C76C1F">
      <w:pPr>
        <w:pStyle w:val="ListParagraph"/>
        <w:numPr>
          <w:ilvl w:val="0"/>
          <w:numId w:val="15"/>
        </w:numPr>
        <w:spacing w:before="0"/>
        <w:ind w:left="567" w:hanging="567"/>
        <w:rPr>
          <w:lang w:bidi="ar-EG"/>
        </w:rPr>
      </w:pPr>
      <w:r>
        <w:rPr>
          <w:rFonts w:hint="cs"/>
          <w:rtl/>
          <w:lang w:bidi="ar-EG"/>
        </w:rPr>
        <w:lastRenderedPageBreak/>
        <w:t xml:space="preserve">قال ابن عابدين في حاشيته: </w:t>
      </w:r>
      <w:r>
        <w:rPr>
          <w:rtl/>
          <w:lang w:bidi="ar-EG"/>
        </w:rPr>
        <w:t>«</w:t>
      </w:r>
      <w:r>
        <w:rPr>
          <w:rFonts w:hint="cs"/>
          <w:rtl/>
          <w:lang w:bidi="ar-EG"/>
        </w:rPr>
        <w:t>وجاز جعل الغلة كلها أو بعضها لنفسه</w:t>
      </w:r>
      <w:r w:rsidRPr="0046333C">
        <w:rPr>
          <w:rFonts w:hint="cs"/>
          <w:vertAlign w:val="superscript"/>
          <w:rtl/>
          <w:lang w:bidi="ar-EG"/>
        </w:rPr>
        <w:t>(</w:t>
      </w:r>
      <w:r w:rsidRPr="0046333C">
        <w:rPr>
          <w:vertAlign w:val="superscript"/>
          <w:rtl/>
        </w:rPr>
        <w:footnoteReference w:id="36"/>
      </w:r>
      <w:r w:rsidRPr="0046333C">
        <w:rPr>
          <w:rFonts w:hint="cs"/>
          <w:vertAlign w:val="superscript"/>
          <w:rtl/>
          <w:lang w:bidi="ar-EG"/>
        </w:rPr>
        <w:t>)</w:t>
      </w:r>
      <w:r>
        <w:rPr>
          <w:rtl/>
          <w:lang w:bidi="ar-EG"/>
        </w:rPr>
        <w:t>»</w:t>
      </w:r>
      <w:r>
        <w:rPr>
          <w:rFonts w:hint="cs"/>
          <w:rtl/>
          <w:lang w:bidi="ar-EG"/>
        </w:rPr>
        <w:t>.</w:t>
      </w:r>
    </w:p>
    <w:p w14:paraId="4F60CD42" w14:textId="65501232" w:rsidR="00C76C1F" w:rsidRPr="00EF755D" w:rsidRDefault="00C76C1F" w:rsidP="00B8354A">
      <w:pPr>
        <w:pStyle w:val="Heading4"/>
        <w:rPr>
          <w:rtl/>
          <w:lang w:bidi="ar-EG"/>
        </w:rPr>
      </w:pPr>
      <w:r>
        <w:rPr>
          <w:rFonts w:hint="cs"/>
          <w:rtl/>
          <w:lang w:bidi="ar-EG"/>
        </w:rPr>
        <w:t>مذهب المالكية في الوقف على النفس:</w:t>
      </w:r>
    </w:p>
    <w:p w14:paraId="2AFA2679" w14:textId="51D7E33A" w:rsidR="0046333C" w:rsidRDefault="00C76C1F" w:rsidP="00B8354A">
      <w:pPr>
        <w:spacing w:before="120" w:line="460" w:lineRule="exact"/>
        <w:rPr>
          <w:rtl/>
          <w:lang w:bidi="ar-EG"/>
        </w:rPr>
      </w:pPr>
      <w:r>
        <w:rPr>
          <w:rFonts w:hint="cs"/>
          <w:rtl/>
          <w:lang w:bidi="ar-EG"/>
        </w:rPr>
        <w:t>ذهب بعض المالكية تبعًا لقياسهم في الوقف على بناء المسجد وإخراج أرضه من ملكية واقفها دون دخولها في ملك أحد كنوع من القربة المقصودة إلى الله عز وجل ذهبوا إلى عدم جواز الوقف على النفس</w:t>
      </w:r>
      <w:r w:rsidRPr="0046333C">
        <w:rPr>
          <w:rFonts w:hint="cs"/>
          <w:vertAlign w:val="superscript"/>
          <w:rtl/>
          <w:lang w:bidi="ar-EG"/>
        </w:rPr>
        <w:t>(</w:t>
      </w:r>
      <w:r w:rsidRPr="0046333C">
        <w:rPr>
          <w:vertAlign w:val="superscript"/>
          <w:rtl/>
        </w:rPr>
        <w:footnoteReference w:id="37"/>
      </w:r>
      <w:r w:rsidRPr="0046333C">
        <w:rPr>
          <w:rFonts w:hint="cs"/>
          <w:vertAlign w:val="superscript"/>
          <w:rtl/>
          <w:lang w:bidi="ar-EG"/>
        </w:rPr>
        <w:t>)</w:t>
      </w:r>
      <w:r>
        <w:rPr>
          <w:rFonts w:hint="cs"/>
          <w:rtl/>
          <w:lang w:bidi="ar-EG"/>
        </w:rPr>
        <w:t xml:space="preserve"> واستدلوا بما يأتي:</w:t>
      </w:r>
    </w:p>
    <w:p w14:paraId="198FB667" w14:textId="6A58A036" w:rsidR="00B8354A" w:rsidRDefault="00B8354A">
      <w:pPr>
        <w:pStyle w:val="ListParagraph"/>
        <w:numPr>
          <w:ilvl w:val="0"/>
          <w:numId w:val="16"/>
        </w:numPr>
        <w:spacing w:before="120" w:line="460" w:lineRule="exact"/>
        <w:ind w:left="567" w:hanging="567"/>
        <w:contextualSpacing w:val="0"/>
        <w:rPr>
          <w:lang w:bidi="ar-EG"/>
        </w:rPr>
      </w:pPr>
      <w:r>
        <w:rPr>
          <w:rFonts w:hint="cs"/>
          <w:rtl/>
          <w:lang w:bidi="ar-EG"/>
        </w:rPr>
        <w:t>قياس الوقف على العتق، حيث يمتنع على المعتق أن يعتق عبده بشرط خدمته، وذلك حيث يزول بالعتق الملك الثابت للمعتق في العبد، من غير أن يتم تمليك العبد لأحد، ولأن هناك وجهًا للشبه بين الوقف والعبد المعتق، يتجلّى في أن كليهما لا يباعان، ولا يملك أحد ثمنهما، ولا يوهبان ولا يورثان عن الميت. كما استدلوا كذلك:</w:t>
      </w:r>
    </w:p>
    <w:p w14:paraId="5E5A62F7" w14:textId="2D85F2D5" w:rsidR="00B8354A" w:rsidRDefault="00B8354A">
      <w:pPr>
        <w:pStyle w:val="ListParagraph"/>
        <w:numPr>
          <w:ilvl w:val="0"/>
          <w:numId w:val="16"/>
        </w:numPr>
        <w:spacing w:before="120" w:line="460" w:lineRule="exact"/>
        <w:ind w:left="567" w:hanging="567"/>
        <w:contextualSpacing w:val="0"/>
        <w:rPr>
          <w:lang w:bidi="ar-EG"/>
        </w:rPr>
      </w:pPr>
      <w:r>
        <w:rPr>
          <w:rFonts w:hint="cs"/>
          <w:rtl/>
          <w:lang w:bidi="ar-EG"/>
        </w:rPr>
        <w:t>بأن من ملك المنافع لسبب لم يتمكن من ملكها بغير ذلك السبب، كمن ملك بالهبة فإنه لا يملك بالعارية أو بالشراء، فكذلك لا يتمكن الواقف من تمليك نفسه للعين بالوقف.</w:t>
      </w:r>
    </w:p>
    <w:p w14:paraId="4DCDDBA3" w14:textId="055CD63B" w:rsidR="00B8354A" w:rsidRDefault="00B8354A">
      <w:pPr>
        <w:pStyle w:val="ListParagraph"/>
        <w:numPr>
          <w:ilvl w:val="0"/>
          <w:numId w:val="16"/>
        </w:numPr>
        <w:spacing w:before="120" w:line="460" w:lineRule="exact"/>
        <w:ind w:left="567" w:hanging="567"/>
        <w:contextualSpacing w:val="0"/>
        <w:rPr>
          <w:lang w:bidi="ar-EG"/>
        </w:rPr>
      </w:pPr>
      <w:r>
        <w:rPr>
          <w:rFonts w:hint="cs"/>
          <w:rtl/>
          <w:lang w:bidi="ar-EG"/>
        </w:rPr>
        <w:t>أنه لم يسمع عن السلف هذا الأمر، فمن كان يقف منهم إنما كان ينتفع بوقفه كبقية المسلمين.</w:t>
      </w:r>
    </w:p>
    <w:p w14:paraId="10356F3D" w14:textId="25E6D30A" w:rsidR="00B8354A" w:rsidRDefault="00B8354A" w:rsidP="00B8354A">
      <w:pPr>
        <w:pStyle w:val="Heading4"/>
        <w:rPr>
          <w:rtl/>
          <w:lang w:bidi="ar-EG"/>
        </w:rPr>
      </w:pPr>
      <w:r>
        <w:rPr>
          <w:rFonts w:hint="cs"/>
          <w:rtl/>
          <w:lang w:bidi="ar-EG"/>
        </w:rPr>
        <w:lastRenderedPageBreak/>
        <w:t>مذهب الشافعية في الوقف على النفس:</w:t>
      </w:r>
    </w:p>
    <w:p w14:paraId="2611F823" w14:textId="1D0A80E0" w:rsidR="00C76C1F" w:rsidRDefault="00B8354A" w:rsidP="00B8354A">
      <w:pPr>
        <w:keepNext/>
        <w:rPr>
          <w:rtl/>
          <w:lang w:bidi="ar-EG"/>
        </w:rPr>
      </w:pPr>
      <w:r>
        <w:rPr>
          <w:rFonts w:hint="cs"/>
          <w:rtl/>
          <w:lang w:bidi="ar-EG"/>
        </w:rPr>
        <w:t>ذكر ابن شهاب الدين الرملي في نهاية المحتاج إلى شرح المنهاج</w:t>
      </w:r>
      <w:r w:rsidRPr="0046333C">
        <w:rPr>
          <w:rFonts w:hint="cs"/>
          <w:vertAlign w:val="superscript"/>
          <w:rtl/>
          <w:lang w:bidi="ar-EG"/>
        </w:rPr>
        <w:t>(</w:t>
      </w:r>
      <w:r w:rsidRPr="0046333C">
        <w:rPr>
          <w:vertAlign w:val="superscript"/>
          <w:rtl/>
        </w:rPr>
        <w:footnoteReference w:id="38"/>
      </w:r>
      <w:r w:rsidRPr="0046333C">
        <w:rPr>
          <w:rFonts w:hint="cs"/>
          <w:vertAlign w:val="superscript"/>
          <w:rtl/>
          <w:lang w:bidi="ar-EG"/>
        </w:rPr>
        <w:t>)</w:t>
      </w:r>
      <w:r>
        <w:rPr>
          <w:rFonts w:hint="cs"/>
          <w:rtl/>
          <w:lang w:bidi="ar-EG"/>
        </w:rPr>
        <w:t xml:space="preserve"> في بيانه لشروط الموقوف عليه إلى أنه لا يصح الوقف على نفسه في الأصح، لتعذر تمليك الإنسان ملكه أو منافع ملكه لنفسه لأنه حاصر، ويمتنع تحصيل الحاصل... ومنه أن يشترط نحو قضاء دينه مما وقفه</w:t>
      </w:r>
      <w:r w:rsidR="000D1426">
        <w:rPr>
          <w:rFonts w:hint="cs"/>
          <w:rtl/>
          <w:lang w:bidi="ar-EG"/>
        </w:rPr>
        <w:t>، أو انتفاعه به، فيبطل الوقف بذلك، خلافًا لما وقع لبعض الشرّاح هنا، وكأنه توهّم جواز ذلك من قول عثمان في وقفه لبئر رومة، دلوى فيها كدلاء المسلمين، فقد أجابوا عنه بأنه لم يقل ذلك على سبيل الشرط، بل الإخبار بأن للواقف الانتفاع بوقفه العام كالصلاة بمسجد وقفه، والشرط بمن بئر وقفها.. ولو وقف على الفقراء مثلًا ثم صار فقيرًا، جاز له الأخذ منه.</w:t>
      </w:r>
    </w:p>
    <w:p w14:paraId="6998B0EC" w14:textId="4CC9F22F" w:rsidR="000D1426" w:rsidRDefault="000D1426" w:rsidP="000D1426">
      <w:pPr>
        <w:pStyle w:val="Heading4"/>
        <w:rPr>
          <w:rtl/>
          <w:lang w:bidi="ar-EG"/>
        </w:rPr>
      </w:pPr>
      <w:r>
        <w:rPr>
          <w:rFonts w:hint="cs"/>
          <w:rtl/>
          <w:lang w:bidi="ar-EG"/>
        </w:rPr>
        <w:t>مذهب الحنابلة في الوقف على النفس:</w:t>
      </w:r>
    </w:p>
    <w:p w14:paraId="0A6BDEB7" w14:textId="2285D568" w:rsidR="00B8354A" w:rsidRDefault="000D1426" w:rsidP="00B8354A">
      <w:pPr>
        <w:keepNext/>
        <w:rPr>
          <w:rtl/>
          <w:lang w:bidi="ar-EG"/>
        </w:rPr>
      </w:pPr>
      <w:r>
        <w:rPr>
          <w:rFonts w:hint="cs"/>
          <w:rtl/>
          <w:lang w:bidi="ar-EG"/>
        </w:rPr>
        <w:t>أورد ابن النجار في معونة أولى النّهي</w:t>
      </w:r>
      <w:r w:rsidRPr="0046333C">
        <w:rPr>
          <w:rFonts w:hint="cs"/>
          <w:vertAlign w:val="superscript"/>
          <w:rtl/>
          <w:lang w:bidi="ar-EG"/>
        </w:rPr>
        <w:t>(</w:t>
      </w:r>
      <w:r w:rsidRPr="0046333C">
        <w:rPr>
          <w:vertAlign w:val="superscript"/>
          <w:rtl/>
        </w:rPr>
        <w:footnoteReference w:id="39"/>
      </w:r>
      <w:r w:rsidRPr="0046333C">
        <w:rPr>
          <w:rFonts w:hint="cs"/>
          <w:vertAlign w:val="superscript"/>
          <w:rtl/>
          <w:lang w:bidi="ar-EG"/>
        </w:rPr>
        <w:t>)</w:t>
      </w:r>
      <w:r>
        <w:rPr>
          <w:rFonts w:hint="cs"/>
          <w:rtl/>
          <w:lang w:bidi="ar-EG"/>
        </w:rPr>
        <w:t xml:space="preserve"> عدة روايات عن فقهاء الحنابلة فقال:</w:t>
      </w:r>
    </w:p>
    <w:p w14:paraId="7E3778BC" w14:textId="70BC5454" w:rsidR="000D1426" w:rsidRDefault="000D1426">
      <w:pPr>
        <w:pStyle w:val="ListParagraph"/>
        <w:keepNext/>
        <w:numPr>
          <w:ilvl w:val="0"/>
          <w:numId w:val="17"/>
        </w:numPr>
        <w:ind w:left="567" w:hanging="567"/>
        <w:rPr>
          <w:lang w:bidi="ar-EG"/>
        </w:rPr>
      </w:pPr>
      <w:r>
        <w:rPr>
          <w:rFonts w:hint="cs"/>
          <w:rtl/>
          <w:lang w:bidi="ar-EG"/>
        </w:rPr>
        <w:t>ولا يصح (عند الأكثر) أن يقف الإنسان ماله على نفسه في إحدى الروايتين (أي عن الإمام أحمد بن حنبل)، قال في الإنصاف</w:t>
      </w:r>
      <w:r w:rsidRPr="0046333C">
        <w:rPr>
          <w:rFonts w:hint="cs"/>
          <w:vertAlign w:val="superscript"/>
          <w:rtl/>
          <w:lang w:bidi="ar-EG"/>
        </w:rPr>
        <w:t>(</w:t>
      </w:r>
      <w:r w:rsidRPr="0046333C">
        <w:rPr>
          <w:vertAlign w:val="superscript"/>
          <w:rtl/>
        </w:rPr>
        <w:footnoteReference w:id="40"/>
      </w:r>
      <w:r w:rsidRPr="0046333C">
        <w:rPr>
          <w:rFonts w:hint="cs"/>
          <w:vertAlign w:val="superscript"/>
          <w:rtl/>
          <w:lang w:bidi="ar-EG"/>
        </w:rPr>
        <w:t>)</w:t>
      </w:r>
      <w:r>
        <w:rPr>
          <w:rFonts w:hint="cs"/>
          <w:rtl/>
          <w:lang w:bidi="ar-EG"/>
        </w:rPr>
        <w:t xml:space="preserve"> </w:t>
      </w:r>
      <w:r w:rsidRPr="000D1426">
        <w:rPr>
          <w:rStyle w:val="Heading5Char"/>
          <w:rFonts w:hint="cs"/>
          <w:rtl/>
        </w:rPr>
        <w:t>وهو المذهب وعليه أكثر الأصحاب</w:t>
      </w:r>
      <w:r>
        <w:rPr>
          <w:rFonts w:hint="cs"/>
          <w:rtl/>
          <w:lang w:bidi="ar-EG"/>
        </w:rPr>
        <w:t xml:space="preserve"> وهو ظاهر كلام الخِرَقي، قال في الفصول: هذه الرواية أصح، قال الشارح: هذا أقيس، قال في الرعايتين: ولا يصح على نفسه على الأصح.</w:t>
      </w:r>
    </w:p>
    <w:p w14:paraId="771E933E" w14:textId="0B2D81E9" w:rsidR="000D1426" w:rsidRDefault="000D1426" w:rsidP="000D1426">
      <w:pPr>
        <w:rPr>
          <w:rtl/>
          <w:lang w:bidi="ar-EG"/>
        </w:rPr>
      </w:pPr>
      <w:r>
        <w:rPr>
          <w:rFonts w:hint="cs"/>
          <w:rtl/>
          <w:lang w:bidi="ar-EG"/>
        </w:rPr>
        <w:t>قال الحارثي: وهذا الأصح عند أبي الخطاب وابن عقيل والمصنف، وقطع به ابن أبي موسى في الإرشاد، وأبي الفرج الشيرازي في المبهج، وصاحب الوجيز وغيرهم.</w:t>
      </w:r>
    </w:p>
    <w:p w14:paraId="2964B5F9" w14:textId="3682AADC" w:rsidR="000D1426" w:rsidRDefault="000D1426" w:rsidP="000D1426">
      <w:pPr>
        <w:rPr>
          <w:rtl/>
          <w:lang w:bidi="ar-EG"/>
        </w:rPr>
      </w:pPr>
      <w:r>
        <w:rPr>
          <w:rFonts w:hint="cs"/>
          <w:rtl/>
          <w:lang w:bidi="ar-EG"/>
        </w:rPr>
        <w:lastRenderedPageBreak/>
        <w:t>نقل حنبل وأبي طالب: ما سمعت بهذا (أي بالوقف على النفس) ولا أعرف الوقف إلا ما أخرجه لله، واختار ابن عبدوس في تذكرته، وقدمه في الفروع، وشرح ابن رزين والحاوي الصغير، ووجّه هذا (أي استدلّ عليه):</w:t>
      </w:r>
    </w:p>
    <w:p w14:paraId="5E95D80D" w14:textId="1ED52703" w:rsidR="000D1426" w:rsidRDefault="000D1426" w:rsidP="000D1426">
      <w:pPr>
        <w:rPr>
          <w:rtl/>
          <w:lang w:bidi="ar-EG"/>
        </w:rPr>
      </w:pPr>
      <w:r>
        <w:rPr>
          <w:rFonts w:hint="cs"/>
          <w:rtl/>
          <w:lang w:bidi="ar-EG"/>
        </w:rPr>
        <w:t>أن الوقف تمليك إما للرقبة أو للمنفعة، وكلاهما لا يصح</w:t>
      </w:r>
      <w:r w:rsidRPr="0046333C">
        <w:rPr>
          <w:rFonts w:hint="cs"/>
          <w:vertAlign w:val="superscript"/>
          <w:rtl/>
          <w:lang w:bidi="ar-EG"/>
        </w:rPr>
        <w:t>(</w:t>
      </w:r>
      <w:r w:rsidRPr="0046333C">
        <w:rPr>
          <w:vertAlign w:val="superscript"/>
          <w:rtl/>
        </w:rPr>
        <w:footnoteReference w:id="41"/>
      </w:r>
      <w:r w:rsidRPr="0046333C">
        <w:rPr>
          <w:rFonts w:hint="cs"/>
          <w:vertAlign w:val="superscript"/>
          <w:rtl/>
          <w:lang w:bidi="ar-EG"/>
        </w:rPr>
        <w:t>)</w:t>
      </w:r>
      <w:r>
        <w:rPr>
          <w:rFonts w:hint="cs"/>
          <w:rtl/>
          <w:lang w:bidi="ar-EG"/>
        </w:rPr>
        <w:t>،</w:t>
      </w:r>
      <w:r w:rsidR="00D53CFB">
        <w:rPr>
          <w:rFonts w:hint="cs"/>
          <w:rtl/>
          <w:lang w:bidi="ar-EG"/>
        </w:rPr>
        <w:t xml:space="preserve"> لأن الإنسان لا يجوز له أن يملّك نفسه من نفسه، كما لا يجوز له أن يبيع ماله من نفسه.</w:t>
      </w:r>
    </w:p>
    <w:p w14:paraId="1123BD49" w14:textId="4FB7F707" w:rsidR="007F3EF4" w:rsidRDefault="00D53CFB" w:rsidP="007F3EF4">
      <w:pPr>
        <w:rPr>
          <w:rtl/>
          <w:lang w:bidi="ar-EG"/>
        </w:rPr>
      </w:pPr>
      <w:r>
        <w:rPr>
          <w:rFonts w:hint="cs"/>
          <w:rtl/>
          <w:lang w:bidi="ar-EG"/>
        </w:rPr>
        <w:t>ولأن الوقف على نفسه إنما حاصله منع نفسه التصرف في رقبة الملك</w:t>
      </w:r>
      <w:r w:rsidRPr="0046333C">
        <w:rPr>
          <w:rFonts w:hint="cs"/>
          <w:vertAlign w:val="superscript"/>
          <w:rtl/>
          <w:lang w:bidi="ar-EG"/>
        </w:rPr>
        <w:t>(</w:t>
      </w:r>
      <w:r w:rsidRPr="0046333C">
        <w:rPr>
          <w:vertAlign w:val="superscript"/>
          <w:rtl/>
        </w:rPr>
        <w:footnoteReference w:id="42"/>
      </w:r>
      <w:r w:rsidRPr="0046333C">
        <w:rPr>
          <w:rFonts w:hint="cs"/>
          <w:vertAlign w:val="superscript"/>
          <w:rtl/>
          <w:lang w:bidi="ar-EG"/>
        </w:rPr>
        <w:t>)</w:t>
      </w:r>
      <w:r>
        <w:rPr>
          <w:rFonts w:hint="cs"/>
          <w:rtl/>
          <w:lang w:bidi="ar-EG"/>
        </w:rPr>
        <w:t>، فلم يصح ذلك</w:t>
      </w:r>
      <w:r w:rsidR="007F3EF4">
        <w:rPr>
          <w:rFonts w:hint="cs"/>
          <w:rtl/>
          <w:lang w:bidi="ar-EG"/>
        </w:rPr>
        <w:t xml:space="preserve"> كما لو أفرده</w:t>
      </w:r>
      <w:r w:rsidR="007F3EF4" w:rsidRPr="0046333C">
        <w:rPr>
          <w:rFonts w:hint="cs"/>
          <w:vertAlign w:val="superscript"/>
          <w:rtl/>
          <w:lang w:bidi="ar-EG"/>
        </w:rPr>
        <w:t>(</w:t>
      </w:r>
      <w:r w:rsidR="007F3EF4" w:rsidRPr="0046333C">
        <w:rPr>
          <w:vertAlign w:val="superscript"/>
          <w:rtl/>
        </w:rPr>
        <w:footnoteReference w:id="43"/>
      </w:r>
      <w:r w:rsidR="007F3EF4" w:rsidRPr="0046333C">
        <w:rPr>
          <w:rFonts w:hint="cs"/>
          <w:vertAlign w:val="superscript"/>
          <w:rtl/>
          <w:lang w:bidi="ar-EG"/>
        </w:rPr>
        <w:t>)</w:t>
      </w:r>
      <w:r w:rsidR="007F3EF4">
        <w:rPr>
          <w:rFonts w:hint="cs"/>
          <w:rtl/>
          <w:lang w:bidi="ar-EG"/>
        </w:rPr>
        <w:t xml:space="preserve"> بأن يقول: لا أبيع هذا أو لا أهبه ولا أورّثه.</w:t>
      </w:r>
    </w:p>
    <w:p w14:paraId="3428BAF8" w14:textId="04EEBE74" w:rsidR="007F3EF4" w:rsidRDefault="007F3EF4" w:rsidP="007F3EF4">
      <w:pPr>
        <w:rPr>
          <w:rtl/>
          <w:lang w:bidi="ar-EG"/>
        </w:rPr>
      </w:pPr>
      <w:r>
        <w:rPr>
          <w:rFonts w:hint="cs"/>
          <w:rtl/>
          <w:lang w:bidi="ar-EG"/>
        </w:rPr>
        <w:t>وعلى هذه الرواية: هل يصح الوقف على من جعله له بعده؟ كما لو قال: وقفت هذا على نفس ثم على الفقراء، فيصح، ويصرف على الفقراء ابتداء، أو يقع باطلًا؟</w:t>
      </w:r>
    </w:p>
    <w:p w14:paraId="4ED55A7C" w14:textId="36A0EBD6" w:rsidR="007F3EF4" w:rsidRDefault="007F3EF4" w:rsidP="007F3EF4">
      <w:pPr>
        <w:rPr>
          <w:rtl/>
          <w:lang w:bidi="ar-EG"/>
        </w:rPr>
      </w:pPr>
      <w:r>
        <w:rPr>
          <w:rFonts w:hint="cs"/>
          <w:rtl/>
          <w:lang w:bidi="ar-EG"/>
        </w:rPr>
        <w:t>فيه وجهان، بناءً على الوقف المنقطع</w:t>
      </w:r>
      <w:r w:rsidRPr="0046333C">
        <w:rPr>
          <w:rFonts w:hint="cs"/>
          <w:vertAlign w:val="superscript"/>
          <w:rtl/>
          <w:lang w:bidi="ar-EG"/>
        </w:rPr>
        <w:t>(</w:t>
      </w:r>
      <w:r w:rsidRPr="0046333C">
        <w:rPr>
          <w:vertAlign w:val="superscript"/>
          <w:rtl/>
        </w:rPr>
        <w:footnoteReference w:id="44"/>
      </w:r>
      <w:r w:rsidRPr="0046333C">
        <w:rPr>
          <w:rFonts w:hint="cs"/>
          <w:vertAlign w:val="superscript"/>
          <w:rtl/>
          <w:lang w:bidi="ar-EG"/>
        </w:rPr>
        <w:t>)</w:t>
      </w:r>
      <w:r>
        <w:rPr>
          <w:rFonts w:hint="cs"/>
          <w:rtl/>
          <w:lang w:bidi="ar-EG"/>
        </w:rPr>
        <w:t xml:space="preserve"> الابتداء، والصحيح منهما أنه يصح، وينصرف إلى من بعده في الحال، جزم به في التنقيح، وتبعته عليه، وقدمه في المحرر. </w:t>
      </w:r>
    </w:p>
    <w:p w14:paraId="296527E0" w14:textId="559D1248" w:rsidR="007F3EF4" w:rsidRDefault="007F3EF4" w:rsidP="007F3EF4">
      <w:pPr>
        <w:rPr>
          <w:rtl/>
          <w:lang w:bidi="ar-EG"/>
        </w:rPr>
      </w:pPr>
      <w:r>
        <w:rPr>
          <w:rFonts w:hint="cs"/>
          <w:rtl/>
          <w:lang w:bidi="ar-EG"/>
        </w:rPr>
        <w:t>ووجه ذلك: أن وجود ما لا يصح الوقف عليه كعدمه، فيكون كأنه وقف على من بعده ابتداء، فإن لم يذكر غير نفسه، فملكه بحاله، ويورث عنه.</w:t>
      </w:r>
    </w:p>
    <w:p w14:paraId="11CEFEDB" w14:textId="1289A444" w:rsidR="007F3EF4" w:rsidRDefault="007F3EF4">
      <w:pPr>
        <w:pStyle w:val="ListParagraph"/>
        <w:keepNext/>
        <w:numPr>
          <w:ilvl w:val="0"/>
          <w:numId w:val="17"/>
        </w:numPr>
        <w:ind w:left="567" w:hanging="567"/>
        <w:rPr>
          <w:lang w:bidi="ar-EG"/>
        </w:rPr>
      </w:pPr>
      <w:r>
        <w:rPr>
          <w:rFonts w:hint="cs"/>
          <w:rtl/>
          <w:lang w:bidi="ar-EG"/>
        </w:rPr>
        <w:lastRenderedPageBreak/>
        <w:t>قال ابن النجار في معونة أولى النهي</w:t>
      </w:r>
      <w:r w:rsidRPr="0046333C">
        <w:rPr>
          <w:rFonts w:hint="cs"/>
          <w:vertAlign w:val="superscript"/>
          <w:rtl/>
          <w:lang w:bidi="ar-EG"/>
        </w:rPr>
        <w:t>(</w:t>
      </w:r>
      <w:r w:rsidRPr="0046333C">
        <w:rPr>
          <w:vertAlign w:val="superscript"/>
          <w:rtl/>
        </w:rPr>
        <w:footnoteReference w:id="45"/>
      </w:r>
      <w:r w:rsidRPr="0046333C">
        <w:rPr>
          <w:rFonts w:hint="cs"/>
          <w:vertAlign w:val="superscript"/>
          <w:rtl/>
          <w:lang w:bidi="ar-EG"/>
        </w:rPr>
        <w:t>)</w:t>
      </w:r>
      <w:r>
        <w:rPr>
          <w:rFonts w:hint="cs"/>
          <w:rtl/>
          <w:lang w:bidi="ar-EG"/>
        </w:rPr>
        <w:t>: وعنه: يصح (أي وعن الإمام أحمد أنه يصح الوقف على النفس) وذلك بأن يقف الإنسان ماله على نفسه، نصّ الإمام على ذلك في رواية إسحاق بن إبراهيم ويوسف بن موسى والفضل بن زياد.</w:t>
      </w:r>
    </w:p>
    <w:p w14:paraId="034107F1" w14:textId="05315CE7" w:rsidR="007F3EF4" w:rsidRDefault="007F3EF4" w:rsidP="007F3EF4">
      <w:pPr>
        <w:rPr>
          <w:rtl/>
          <w:lang w:bidi="ar-EG"/>
        </w:rPr>
      </w:pPr>
      <w:r>
        <w:rPr>
          <w:rFonts w:hint="cs"/>
          <w:rtl/>
          <w:lang w:bidi="ar-EG"/>
        </w:rPr>
        <w:t>قال في المُذَهّب ومسبوك الذهب: صح في ظاهر المذهب، قال الحارثي: هذا هو الصحيح، قال أبو المعالي في النهاية والخلاصة: يصح على الأصح.</w:t>
      </w:r>
    </w:p>
    <w:p w14:paraId="27423CEC" w14:textId="40ED1F98" w:rsidR="007F3EF4" w:rsidRDefault="007F3EF4" w:rsidP="007F3EF4">
      <w:pPr>
        <w:rPr>
          <w:rtl/>
          <w:lang w:bidi="ar-EG"/>
        </w:rPr>
      </w:pPr>
      <w:r>
        <w:rPr>
          <w:rFonts w:hint="cs"/>
          <w:rtl/>
          <w:lang w:bidi="ar-EG"/>
        </w:rPr>
        <w:t>قال الناظم: يجوز على المنصوص من نص أحمد، وصححه في التصحيح وإدراك الغاية.</w:t>
      </w:r>
    </w:p>
    <w:p w14:paraId="68E3488E" w14:textId="6704641A" w:rsidR="007F3EF4" w:rsidRDefault="007F3EF4" w:rsidP="007F3EF4">
      <w:pPr>
        <w:rPr>
          <w:rtl/>
          <w:lang w:bidi="ar-EG"/>
        </w:rPr>
      </w:pPr>
      <w:r>
        <w:rPr>
          <w:rFonts w:hint="cs"/>
          <w:rtl/>
          <w:lang w:bidi="ar-EG"/>
        </w:rPr>
        <w:t>قال في الفائق: وهو المختار، واختاره الشيخ تقي الدين، ومال إليه: صاحب التلخيص، وجزم به في المنوّر، وقدمه في الهداية والمُسْتوعَب والهادي والفائق وغيرهم، وقدمه المجْد في مسُوّدته على الهداية.</w:t>
      </w:r>
    </w:p>
    <w:p w14:paraId="2CD2BAE5" w14:textId="32730A76" w:rsidR="007F3EF4" w:rsidRDefault="007F3EF4" w:rsidP="007F3EF4">
      <w:pPr>
        <w:rPr>
          <w:rtl/>
          <w:lang w:bidi="ar-EG"/>
        </w:rPr>
      </w:pPr>
      <w:r>
        <w:rPr>
          <w:rFonts w:hint="cs"/>
          <w:rtl/>
          <w:lang w:bidi="ar-EG"/>
        </w:rPr>
        <w:t>قال في التنقيح: اختاره جماعة، وعليه العمل وهو أظهر، وعبارته في الإنصاف قلت (أي ابن النجار) وهذه الرواية عليه العمل في زمننا وقبله عند حكامنا من أزمنة متطاولة، وه والصواب، وفيه مصلحة عظيمة وترغيب في فعل الخير وهو من محاسن المذهب.</w:t>
      </w:r>
    </w:p>
    <w:p w14:paraId="7BD9CDCE" w14:textId="1AF6F81E" w:rsidR="007F3EF4" w:rsidRDefault="007F3EF4" w:rsidP="007F3EF4">
      <w:pPr>
        <w:rPr>
          <w:rtl/>
          <w:lang w:bidi="ar-EG"/>
        </w:rPr>
      </w:pPr>
      <w:r>
        <w:rPr>
          <w:rFonts w:hint="cs"/>
          <w:rtl/>
          <w:lang w:bidi="ar-EG"/>
        </w:rPr>
        <w:t>قال في المغني: ونقل جماعة أن الوقف (أي على النفس) صحيح اختاره ابن أبي موسى.</w:t>
      </w:r>
    </w:p>
    <w:p w14:paraId="079EACDA" w14:textId="1ED62F8B" w:rsidR="007F3EF4" w:rsidRDefault="007F3EF4" w:rsidP="007F3EF4">
      <w:pPr>
        <w:rPr>
          <w:rtl/>
          <w:lang w:bidi="ar-EG"/>
        </w:rPr>
      </w:pPr>
      <w:r>
        <w:rPr>
          <w:rFonts w:hint="cs"/>
          <w:rtl/>
          <w:lang w:bidi="ar-EG"/>
        </w:rPr>
        <w:t>قال ابن عقيل: وهي (أي هذه الرواية) أصح، وهو قول ابن أبي ليلى وابن شبرمة وأبي يوسف وابن شريح، لما ذكرنا فيما اشترط أن يرجع إليه شيء من منافعه ولأنه يصح أن يقف وقفًا عامًا، فينتفع به، كذلك إذا خص نفسه بانتفاعه والأول (أي القول بعدم الصحة) أقيس.</w:t>
      </w:r>
    </w:p>
    <w:p w14:paraId="5867B2B5" w14:textId="74CFCD20" w:rsidR="007F3EF4" w:rsidRDefault="007F3EF4" w:rsidP="007F3EF4">
      <w:pPr>
        <w:rPr>
          <w:rtl/>
          <w:lang w:bidi="ar-EG"/>
        </w:rPr>
      </w:pPr>
      <w:r>
        <w:rPr>
          <w:rFonts w:hint="cs"/>
          <w:rtl/>
          <w:lang w:bidi="ar-EG"/>
        </w:rPr>
        <w:lastRenderedPageBreak/>
        <w:t>وصفوة القول فيما ذكره ابن النجار من أقوال فقهاء مذهب الحنابلة في الوقف على النفس هو: وجود اتجاهين (أولهما) المذهب الذي عليه أكثر أصحاب الإمام أحمد، عدم صحة وقف الإنسان ماله على نفسه وقد وُصف هذا القول بأنه أصح الروايات وأقيسها. (الاتجاه الثاني) ما نصّ عليه الإمام أحمد فيما ورد عنه: أنه يصح أن يقف الإنسان ماله على نفسه، وقد وصفت هذه الرواية</w:t>
      </w:r>
      <w:r w:rsidR="00093F04">
        <w:rPr>
          <w:rFonts w:hint="cs"/>
          <w:rtl/>
          <w:lang w:bidi="ar-EG"/>
        </w:rPr>
        <w:t xml:space="preserve"> بأنها: النصّ المنقول عن الإمام أحمد وبأنها ظاهر المذهب وصحيحه وبأنها اختيار جماعة من فقهاء المذهب، وبأن العمل يجري بها، وقد قال عنها ابن النجار: هذه الرواية عليها العمل في زمننا (88 </w:t>
      </w:r>
      <w:r w:rsidR="00093F04">
        <w:rPr>
          <w:rFonts w:ascii="Times New Roman" w:hAnsi="Times New Roman" w:cs="Times New Roman" w:hint="cs"/>
          <w:rtl/>
          <w:lang w:bidi="ar-EG"/>
        </w:rPr>
        <w:t>–</w:t>
      </w:r>
      <w:r w:rsidR="00093F04">
        <w:rPr>
          <w:rFonts w:hint="cs"/>
          <w:rtl/>
          <w:lang w:bidi="ar-EG"/>
        </w:rPr>
        <w:t xml:space="preserve"> 972هـ) وقبله عند حكامنا من أزمنة متطاولة وهو الصواب، وفيه مصلحة عظيمة وترغيب في فعل الخير، وهو من محاسن المذهب.</w:t>
      </w:r>
    </w:p>
    <w:p w14:paraId="2818786B" w14:textId="6800EA28" w:rsidR="00093F04" w:rsidRDefault="00093F04" w:rsidP="007F3EF4">
      <w:pPr>
        <w:rPr>
          <w:rtl/>
          <w:lang w:bidi="ar-EG"/>
        </w:rPr>
      </w:pPr>
      <w:r>
        <w:rPr>
          <w:rFonts w:hint="cs"/>
          <w:rtl/>
          <w:lang w:bidi="ar-EG"/>
        </w:rPr>
        <w:t>وقد ذكر ابن عقيل أن هذا الاتجاه القائل بالصحة هو قول ابن أبي ليلى وابن شبرمة وأبي يوسف وابن شُريح.</w:t>
      </w:r>
    </w:p>
    <w:p w14:paraId="2D85063F" w14:textId="102799A2" w:rsidR="00093F04" w:rsidRDefault="00093F04" w:rsidP="00093F04">
      <w:pPr>
        <w:pStyle w:val="Heading4"/>
        <w:rPr>
          <w:lang w:bidi="ar-EG"/>
        </w:rPr>
      </w:pPr>
      <w:r>
        <w:rPr>
          <w:rFonts w:hint="cs"/>
          <w:rtl/>
          <w:lang w:bidi="ar-EG"/>
        </w:rPr>
        <w:t>مذهب الحنابلة فيمن وقف العين واستثنى منافعها لنفسه طيلة حياته:</w:t>
      </w:r>
    </w:p>
    <w:p w14:paraId="75948AAF" w14:textId="7DC9B7E9" w:rsidR="00093F04" w:rsidRDefault="00093F04" w:rsidP="00093F04">
      <w:pPr>
        <w:rPr>
          <w:rtl/>
          <w:lang w:bidi="ar-EG"/>
        </w:rPr>
      </w:pPr>
      <w:r>
        <w:rPr>
          <w:rFonts w:hint="cs"/>
          <w:rtl/>
          <w:lang w:bidi="ar-EG"/>
        </w:rPr>
        <w:t xml:space="preserve">قال ابن النجار في معونة أولى النهي: </w:t>
      </w:r>
      <w:r>
        <w:rPr>
          <w:rtl/>
          <w:lang w:bidi="ar-EG"/>
        </w:rPr>
        <w:t>«</w:t>
      </w:r>
      <w:r>
        <w:rPr>
          <w:rFonts w:hint="cs"/>
          <w:rtl/>
          <w:lang w:bidi="ar-EG"/>
        </w:rPr>
        <w:t>وإن وقف إنسان شيئًا على غيره واستثنى غلّتها أو بعضها له (أي للواقف) أو استثنى الأكل منه أو استثنى الانتفاع لنفسه مدة حياته أو مدة معينة، صح الوقف والشرط في الجميع</w:t>
      </w:r>
      <w:r>
        <w:rPr>
          <w:rtl/>
          <w:lang w:bidi="ar-EG"/>
        </w:rPr>
        <w:t>»</w:t>
      </w:r>
      <w:r>
        <w:rPr>
          <w:rFonts w:hint="cs"/>
          <w:rtl/>
          <w:lang w:bidi="ar-EG"/>
        </w:rPr>
        <w:t>.</w:t>
      </w:r>
    </w:p>
    <w:p w14:paraId="52487682" w14:textId="7D2FDB45" w:rsidR="00093F04" w:rsidRDefault="00093F04" w:rsidP="00093F04">
      <w:pPr>
        <w:rPr>
          <w:rtl/>
          <w:lang w:bidi="ar-EG"/>
        </w:rPr>
      </w:pPr>
      <w:r>
        <w:rPr>
          <w:rFonts w:hint="cs"/>
          <w:rtl/>
          <w:lang w:bidi="ar-EG"/>
        </w:rPr>
        <w:t xml:space="preserve">ونقل ابن النجار عن الأثرم أنه قيل له: قيل لأبي عبد الله: يَشْترطُ في الوقف أني انفق على نفسي وأهلي منه قال: نعم وأصبَحّ بقوله: سمعت ابن عيينه عن ابن طاووس عن أبيه عن حجر المدري: </w:t>
      </w:r>
      <w:r>
        <w:rPr>
          <w:rtl/>
          <w:lang w:bidi="ar-EG"/>
        </w:rPr>
        <w:t>«</w:t>
      </w:r>
      <w:r>
        <w:rPr>
          <w:rFonts w:hint="cs"/>
          <w:rtl/>
          <w:lang w:bidi="ar-EG"/>
        </w:rPr>
        <w:t xml:space="preserve">أن في صدقة رسول </w:t>
      </w:r>
      <w:r>
        <w:rPr>
          <w:lang w:bidi="ar-EG"/>
        </w:rPr>
        <w:sym w:font="AGA Arabesque" w:char="F072"/>
      </w:r>
      <w:r>
        <w:rPr>
          <w:rFonts w:hint="cs"/>
          <w:rtl/>
          <w:lang w:bidi="ar-EG"/>
        </w:rPr>
        <w:t xml:space="preserve"> أن يأكل أهله منها بالمعروف</w:t>
      </w:r>
      <w:r>
        <w:rPr>
          <w:rtl/>
          <w:lang w:bidi="ar-EG"/>
        </w:rPr>
        <w:t>»</w:t>
      </w:r>
      <w:r>
        <w:rPr>
          <w:rFonts w:hint="cs"/>
          <w:rtl/>
          <w:lang w:bidi="ar-EG"/>
        </w:rPr>
        <w:t xml:space="preserve"> وبذلك قال: ابن أبي ليلى وابن شبرمة وأبو يوسف والزبيري وابن سُرَيج، ولنا (أي لابن النجار دليل آخر هو) أن عمر بن الخطاب رضي الله عنه لما وقف قال: </w:t>
      </w:r>
      <w:r>
        <w:rPr>
          <w:rtl/>
          <w:lang w:bidi="ar-EG"/>
        </w:rPr>
        <w:t>«</w:t>
      </w:r>
      <w:r>
        <w:rPr>
          <w:rFonts w:hint="cs"/>
          <w:rtl/>
          <w:lang w:bidi="ar-EG"/>
        </w:rPr>
        <w:t>لا جناح على من قيليتها أن يأكل منها أو يطعم صديقًا غير متموّل فيه</w:t>
      </w:r>
      <w:r>
        <w:rPr>
          <w:rtl/>
          <w:lang w:bidi="ar-EG"/>
        </w:rPr>
        <w:t>»</w:t>
      </w:r>
      <w:r>
        <w:rPr>
          <w:rFonts w:hint="cs"/>
          <w:rtl/>
          <w:lang w:bidi="ar-EG"/>
        </w:rPr>
        <w:t xml:space="preserve"> وكان الوقف في يده إلى أن مات، ولأنه إذا وقف وقفًا عامًا كالمساجد والسقايات والمقابر فإن له الانتفاع بذلك، وكذلك ها هنا.</w:t>
      </w:r>
    </w:p>
    <w:p w14:paraId="6C4DC75D" w14:textId="75E5BC01" w:rsidR="00093F04" w:rsidRDefault="00093F04" w:rsidP="00093F04">
      <w:pPr>
        <w:rPr>
          <w:rtl/>
          <w:lang w:bidi="ar-EG"/>
        </w:rPr>
      </w:pPr>
      <w:r>
        <w:rPr>
          <w:rFonts w:hint="cs"/>
          <w:rtl/>
          <w:lang w:bidi="ar-EG"/>
        </w:rPr>
        <w:lastRenderedPageBreak/>
        <w:t>وتصح إجارتها، أي إجارة المدة المستثنى نفعها من الموقوف عليه وغيره، قاله في الإنصاف.</w:t>
      </w:r>
    </w:p>
    <w:p w14:paraId="53BCE1C2" w14:textId="0222BE14" w:rsidR="00093F04" w:rsidRDefault="00093F04" w:rsidP="00093F04">
      <w:pPr>
        <w:rPr>
          <w:rtl/>
          <w:lang w:bidi="ar-EG"/>
        </w:rPr>
      </w:pPr>
      <w:r>
        <w:rPr>
          <w:rFonts w:hint="cs"/>
          <w:rtl/>
          <w:lang w:bidi="ar-EG"/>
        </w:rPr>
        <w:t>قال ابن النجار: ومن وقف على الفقراء فافتقر تناول منه، ونسب إلى صاحب الإنصاف قوله: إن ذلك على الصحيح من المذهب وعليه جماهير الأصحاب ونص عليه في رواية المروزي، قال في التلخيص: هذا ظاهر كلام أصحابنا. وقيل: لا يباح له ذلك، وقيل: إن قلنا بصحة الوقف على النفس أبيح له الأخذ منه وإلا فلا لأنه لا يتناول بالخصوص، فلا يتناول بالعموم بطريق الأوْلى.</w:t>
      </w:r>
    </w:p>
    <w:p w14:paraId="56E7E473" w14:textId="59048017" w:rsidR="00093F04" w:rsidRDefault="00093F04" w:rsidP="00093F04">
      <w:pPr>
        <w:pStyle w:val="Heading4"/>
        <w:rPr>
          <w:rtl/>
          <w:lang w:bidi="ar-EG"/>
        </w:rPr>
      </w:pPr>
      <w:r>
        <w:rPr>
          <w:rFonts w:hint="cs"/>
          <w:rtl/>
          <w:lang w:bidi="ar-EG"/>
        </w:rPr>
        <w:t>من أقوال الفقهاء في جواز وصحة الوقف على النفس:</w:t>
      </w:r>
    </w:p>
    <w:p w14:paraId="1383FE00" w14:textId="2EFF575E" w:rsidR="00093F04" w:rsidRDefault="00093F04">
      <w:pPr>
        <w:pStyle w:val="ListParagraph"/>
        <w:numPr>
          <w:ilvl w:val="0"/>
          <w:numId w:val="18"/>
        </w:numPr>
        <w:ind w:left="567" w:hanging="567"/>
        <w:rPr>
          <w:lang w:bidi="ar-EG"/>
        </w:rPr>
      </w:pPr>
      <w:r>
        <w:rPr>
          <w:rFonts w:hint="cs"/>
          <w:rtl/>
          <w:lang w:bidi="ar-EG"/>
        </w:rPr>
        <w:t xml:space="preserve">جاء في المبسوط للسرخسي قال: قال أبو يوسف: </w:t>
      </w:r>
      <w:r>
        <w:rPr>
          <w:rtl/>
          <w:lang w:bidi="ar-EG"/>
        </w:rPr>
        <w:t>«</w:t>
      </w:r>
      <w:r>
        <w:rPr>
          <w:rFonts w:hint="cs"/>
          <w:rtl/>
          <w:lang w:bidi="ar-EG"/>
        </w:rPr>
        <w:t>يجوز أن يجعل الغلة لنفسه ما دام حيًّا</w:t>
      </w:r>
      <w:r w:rsidRPr="0046333C">
        <w:rPr>
          <w:rFonts w:hint="cs"/>
          <w:vertAlign w:val="superscript"/>
          <w:rtl/>
          <w:lang w:bidi="ar-EG"/>
        </w:rPr>
        <w:t>(</w:t>
      </w:r>
      <w:r w:rsidRPr="0046333C">
        <w:rPr>
          <w:vertAlign w:val="superscript"/>
          <w:rtl/>
        </w:rPr>
        <w:footnoteReference w:id="46"/>
      </w:r>
      <w:r w:rsidRPr="0046333C">
        <w:rPr>
          <w:rFonts w:hint="cs"/>
          <w:vertAlign w:val="superscript"/>
          <w:rtl/>
          <w:lang w:bidi="ar-EG"/>
        </w:rPr>
        <w:t>)</w:t>
      </w:r>
      <w:r>
        <w:rPr>
          <w:rtl/>
          <w:lang w:bidi="ar-EG"/>
        </w:rPr>
        <w:t>»</w:t>
      </w:r>
      <w:r>
        <w:rPr>
          <w:rFonts w:hint="cs"/>
          <w:rtl/>
          <w:lang w:bidi="ar-EG"/>
        </w:rPr>
        <w:t>.</w:t>
      </w:r>
    </w:p>
    <w:p w14:paraId="20EDD626" w14:textId="52D4EDB1" w:rsidR="00093F04" w:rsidRDefault="00093F04">
      <w:pPr>
        <w:pStyle w:val="ListParagraph"/>
        <w:numPr>
          <w:ilvl w:val="0"/>
          <w:numId w:val="18"/>
        </w:numPr>
        <w:ind w:left="567" w:hanging="567"/>
        <w:rPr>
          <w:lang w:bidi="ar-EG"/>
        </w:rPr>
      </w:pPr>
      <w:r>
        <w:rPr>
          <w:rFonts w:hint="cs"/>
          <w:rtl/>
          <w:lang w:bidi="ar-EG"/>
        </w:rPr>
        <w:t xml:space="preserve">جاء في المغني لابن قدامة: </w:t>
      </w:r>
      <w:r>
        <w:rPr>
          <w:rtl/>
          <w:lang w:bidi="ar-EG"/>
        </w:rPr>
        <w:t>«</w:t>
      </w:r>
      <w:r>
        <w:rPr>
          <w:rFonts w:hint="cs"/>
          <w:rtl/>
          <w:lang w:bidi="ar-EG"/>
        </w:rPr>
        <w:t>إن الواقف إذا اشترط في الوقف أن ينفق منه على نفسه، صح الوقف والشرط، نص عليه الإمام أحمد</w:t>
      </w:r>
      <w:r w:rsidRPr="0046333C">
        <w:rPr>
          <w:rFonts w:hint="cs"/>
          <w:vertAlign w:val="superscript"/>
          <w:rtl/>
          <w:lang w:bidi="ar-EG"/>
        </w:rPr>
        <w:t>(</w:t>
      </w:r>
      <w:r w:rsidRPr="0046333C">
        <w:rPr>
          <w:vertAlign w:val="superscript"/>
          <w:rtl/>
        </w:rPr>
        <w:footnoteReference w:id="47"/>
      </w:r>
      <w:r w:rsidRPr="0046333C">
        <w:rPr>
          <w:rFonts w:hint="cs"/>
          <w:vertAlign w:val="superscript"/>
          <w:rtl/>
          <w:lang w:bidi="ar-EG"/>
        </w:rPr>
        <w:t>)</w:t>
      </w:r>
      <w:r>
        <w:rPr>
          <w:rtl/>
          <w:lang w:bidi="ar-EG"/>
        </w:rPr>
        <w:t>»</w:t>
      </w:r>
      <w:r>
        <w:rPr>
          <w:rFonts w:hint="cs"/>
          <w:rtl/>
          <w:lang w:bidi="ar-EG"/>
        </w:rPr>
        <w:t>.</w:t>
      </w:r>
    </w:p>
    <w:p w14:paraId="795F8ACD" w14:textId="75E7B0FB" w:rsidR="00093F04" w:rsidRDefault="00093F04">
      <w:pPr>
        <w:pStyle w:val="ListParagraph"/>
        <w:numPr>
          <w:ilvl w:val="0"/>
          <w:numId w:val="18"/>
        </w:numPr>
        <w:ind w:left="567" w:hanging="567"/>
        <w:rPr>
          <w:lang w:bidi="ar-EG"/>
        </w:rPr>
      </w:pPr>
      <w:r>
        <w:rPr>
          <w:rFonts w:hint="cs"/>
          <w:rtl/>
          <w:lang w:bidi="ar-EG"/>
        </w:rPr>
        <w:t>جاء في شرح منتهى الإرادات للبهوتي: وإن وقف شيئًا على غيره واستثنى غلته كلها أو بعضها له مدة معينة، أو استثنى الانتفاع لنفسه أو لأهله مدة حياته أو مدة معينة، صح الوقف والشرط</w:t>
      </w:r>
      <w:r w:rsidRPr="0046333C">
        <w:rPr>
          <w:rFonts w:hint="cs"/>
          <w:vertAlign w:val="superscript"/>
          <w:rtl/>
          <w:lang w:bidi="ar-EG"/>
        </w:rPr>
        <w:t>(</w:t>
      </w:r>
      <w:r w:rsidRPr="0046333C">
        <w:rPr>
          <w:vertAlign w:val="superscript"/>
          <w:rtl/>
        </w:rPr>
        <w:footnoteReference w:id="48"/>
      </w:r>
      <w:r w:rsidRPr="0046333C">
        <w:rPr>
          <w:rFonts w:hint="cs"/>
          <w:vertAlign w:val="superscript"/>
          <w:rtl/>
          <w:lang w:bidi="ar-EG"/>
        </w:rPr>
        <w:t>)</w:t>
      </w:r>
      <w:r>
        <w:rPr>
          <w:rFonts w:hint="cs"/>
          <w:rtl/>
          <w:lang w:bidi="ar-EG"/>
        </w:rPr>
        <w:t>.</w:t>
      </w:r>
    </w:p>
    <w:p w14:paraId="3FC80228" w14:textId="7DE3C316" w:rsidR="00A64C75" w:rsidRDefault="00A64C75">
      <w:pPr>
        <w:pStyle w:val="ListParagraph"/>
        <w:numPr>
          <w:ilvl w:val="0"/>
          <w:numId w:val="18"/>
        </w:numPr>
        <w:ind w:left="567" w:hanging="567"/>
        <w:rPr>
          <w:lang w:bidi="ar-EG"/>
        </w:rPr>
      </w:pPr>
      <w:r>
        <w:rPr>
          <w:rFonts w:hint="cs"/>
          <w:rtl/>
          <w:lang w:bidi="ar-EG"/>
        </w:rPr>
        <w:t xml:space="preserve">جاء في حاشية ابن عابدين: </w:t>
      </w:r>
      <w:r>
        <w:rPr>
          <w:rtl/>
          <w:lang w:bidi="ar-EG"/>
        </w:rPr>
        <w:t>«</w:t>
      </w:r>
      <w:r>
        <w:rPr>
          <w:rFonts w:hint="cs"/>
          <w:rtl/>
          <w:lang w:bidi="ar-EG"/>
        </w:rPr>
        <w:t>وجاز جعل الغلة كلها أو بعضها لنفسه</w:t>
      </w:r>
      <w:r w:rsidRPr="0046333C">
        <w:rPr>
          <w:rFonts w:hint="cs"/>
          <w:vertAlign w:val="superscript"/>
          <w:rtl/>
          <w:lang w:bidi="ar-EG"/>
        </w:rPr>
        <w:t>(</w:t>
      </w:r>
      <w:r w:rsidRPr="0046333C">
        <w:rPr>
          <w:vertAlign w:val="superscript"/>
          <w:rtl/>
        </w:rPr>
        <w:footnoteReference w:id="49"/>
      </w:r>
      <w:r w:rsidRPr="0046333C">
        <w:rPr>
          <w:rFonts w:hint="cs"/>
          <w:vertAlign w:val="superscript"/>
          <w:rtl/>
          <w:lang w:bidi="ar-EG"/>
        </w:rPr>
        <w:t>)</w:t>
      </w:r>
      <w:r>
        <w:rPr>
          <w:rtl/>
          <w:lang w:bidi="ar-EG"/>
        </w:rPr>
        <w:t>»</w:t>
      </w:r>
      <w:r>
        <w:rPr>
          <w:rFonts w:hint="cs"/>
          <w:rtl/>
          <w:lang w:bidi="ar-EG"/>
        </w:rPr>
        <w:t>.</w:t>
      </w:r>
    </w:p>
    <w:p w14:paraId="70F45E58" w14:textId="2BECB249" w:rsidR="00A64C75" w:rsidRDefault="00A64C75">
      <w:pPr>
        <w:pStyle w:val="ListParagraph"/>
        <w:numPr>
          <w:ilvl w:val="0"/>
          <w:numId w:val="18"/>
        </w:numPr>
        <w:ind w:left="567" w:hanging="567"/>
        <w:rPr>
          <w:lang w:bidi="ar-EG"/>
        </w:rPr>
      </w:pPr>
      <w:r>
        <w:rPr>
          <w:rFonts w:hint="cs"/>
          <w:rtl/>
          <w:lang w:bidi="ar-EG"/>
        </w:rPr>
        <w:lastRenderedPageBreak/>
        <w:t>جاء في إعلام الموقعين لابن القيم: أن الواقف أخرج رقبة الوقف لله، وجعل نفسه أحد المستحقين للمنفعة مدة حياته، فإن لم يكن أولى من البطون المرتبة، (أي من طبقات الموقوف عليهم وأجيالهم) فلا يكون دون بعضهم، وهذا محض القياس</w:t>
      </w:r>
      <w:r w:rsidRPr="0046333C">
        <w:rPr>
          <w:rFonts w:hint="cs"/>
          <w:vertAlign w:val="superscript"/>
          <w:rtl/>
          <w:lang w:bidi="ar-EG"/>
        </w:rPr>
        <w:t>(</w:t>
      </w:r>
      <w:r w:rsidRPr="0046333C">
        <w:rPr>
          <w:vertAlign w:val="superscript"/>
          <w:rtl/>
        </w:rPr>
        <w:footnoteReference w:id="50"/>
      </w:r>
      <w:r w:rsidRPr="0046333C">
        <w:rPr>
          <w:rFonts w:hint="cs"/>
          <w:vertAlign w:val="superscript"/>
          <w:rtl/>
          <w:lang w:bidi="ar-EG"/>
        </w:rPr>
        <w:t>)</w:t>
      </w:r>
      <w:r>
        <w:rPr>
          <w:rFonts w:hint="cs"/>
          <w:rtl/>
          <w:lang w:bidi="ar-EG"/>
        </w:rPr>
        <w:t>.</w:t>
      </w:r>
    </w:p>
    <w:p w14:paraId="3FC99413" w14:textId="15F96BD0" w:rsidR="00A64C75" w:rsidRDefault="00A64C75">
      <w:pPr>
        <w:pStyle w:val="ListParagraph"/>
        <w:numPr>
          <w:ilvl w:val="0"/>
          <w:numId w:val="18"/>
        </w:numPr>
        <w:ind w:left="567" w:hanging="567"/>
        <w:rPr>
          <w:lang w:bidi="ar-EG"/>
        </w:rPr>
      </w:pPr>
      <w:r>
        <w:rPr>
          <w:rFonts w:hint="cs"/>
          <w:rtl/>
          <w:lang w:bidi="ar-EG"/>
        </w:rPr>
        <w:t xml:space="preserve">جاء في نيل الأوطار للشوكاني: </w:t>
      </w:r>
      <w:r>
        <w:rPr>
          <w:rtl/>
          <w:lang w:bidi="ar-EG"/>
        </w:rPr>
        <w:t>«</w:t>
      </w:r>
      <w:r>
        <w:rPr>
          <w:rFonts w:hint="cs"/>
          <w:rtl/>
          <w:lang w:bidi="ar-EG"/>
        </w:rPr>
        <w:t>إن المقصود من الوقف القربة، وهي حاصلة بالوقف على النفس</w:t>
      </w:r>
      <w:r w:rsidRPr="0046333C">
        <w:rPr>
          <w:rFonts w:hint="cs"/>
          <w:vertAlign w:val="superscript"/>
          <w:rtl/>
          <w:lang w:bidi="ar-EG"/>
        </w:rPr>
        <w:t>(</w:t>
      </w:r>
      <w:r w:rsidRPr="0046333C">
        <w:rPr>
          <w:vertAlign w:val="superscript"/>
          <w:rtl/>
        </w:rPr>
        <w:footnoteReference w:id="51"/>
      </w:r>
      <w:r w:rsidRPr="0046333C">
        <w:rPr>
          <w:rFonts w:hint="cs"/>
          <w:vertAlign w:val="superscript"/>
          <w:rtl/>
          <w:lang w:bidi="ar-EG"/>
        </w:rPr>
        <w:t>)</w:t>
      </w:r>
      <w:r>
        <w:rPr>
          <w:rtl/>
          <w:lang w:bidi="ar-EG"/>
        </w:rPr>
        <w:t>»</w:t>
      </w:r>
      <w:r>
        <w:rPr>
          <w:rFonts w:hint="cs"/>
          <w:rtl/>
          <w:lang w:bidi="ar-EG"/>
        </w:rPr>
        <w:t>.</w:t>
      </w:r>
    </w:p>
    <w:p w14:paraId="223D070A" w14:textId="1086B588" w:rsidR="00A64C75" w:rsidRDefault="00A64C75">
      <w:pPr>
        <w:pStyle w:val="ListParagraph"/>
        <w:numPr>
          <w:ilvl w:val="0"/>
          <w:numId w:val="18"/>
        </w:numPr>
        <w:ind w:left="567" w:hanging="567"/>
        <w:rPr>
          <w:lang w:bidi="ar-EG"/>
        </w:rPr>
      </w:pPr>
      <w:r>
        <w:rPr>
          <w:rFonts w:hint="cs"/>
          <w:rtl/>
          <w:lang w:bidi="ar-EG"/>
        </w:rPr>
        <w:t xml:space="preserve">جاء في القواعد الفقهية لابن رجب الحنبلي: </w:t>
      </w:r>
      <w:r>
        <w:rPr>
          <w:rtl/>
          <w:lang w:bidi="ar-EG"/>
        </w:rPr>
        <w:t>«</w:t>
      </w:r>
      <w:r>
        <w:rPr>
          <w:rFonts w:hint="cs"/>
          <w:rtl/>
          <w:lang w:bidi="ar-EG"/>
        </w:rPr>
        <w:t>يصح عندنا استثناء منفعة العين المنتقل ملكا من ناقلها مدة معلومة، ويتخرّج على ذلك مسائل منها: الوقف، يصح أن يقف ويستثنى منفعته مدة معلومة أو مدة حياته، لأن جهالة المدة هنا لا تؤثر، فإنها لا تزيد على جهالة مدة كل بطن بالنسبة إلى من بعده</w:t>
      </w:r>
      <w:r w:rsidRPr="0046333C">
        <w:rPr>
          <w:rFonts w:hint="cs"/>
          <w:vertAlign w:val="superscript"/>
          <w:rtl/>
          <w:lang w:bidi="ar-EG"/>
        </w:rPr>
        <w:t>(</w:t>
      </w:r>
      <w:r w:rsidRPr="0046333C">
        <w:rPr>
          <w:vertAlign w:val="superscript"/>
          <w:rtl/>
        </w:rPr>
        <w:footnoteReference w:id="52"/>
      </w:r>
      <w:r w:rsidRPr="0046333C">
        <w:rPr>
          <w:rFonts w:hint="cs"/>
          <w:vertAlign w:val="superscript"/>
          <w:rtl/>
          <w:lang w:bidi="ar-EG"/>
        </w:rPr>
        <w:t>)</w:t>
      </w:r>
      <w:r>
        <w:rPr>
          <w:rtl/>
          <w:lang w:bidi="ar-EG"/>
        </w:rPr>
        <w:t>»</w:t>
      </w:r>
      <w:r>
        <w:rPr>
          <w:rFonts w:hint="cs"/>
          <w:rtl/>
          <w:lang w:bidi="ar-EG"/>
        </w:rPr>
        <w:t>.</w:t>
      </w:r>
    </w:p>
    <w:p w14:paraId="21303D50" w14:textId="0936282A" w:rsidR="00534996" w:rsidRPr="00093F04" w:rsidRDefault="00534996">
      <w:pPr>
        <w:pStyle w:val="ListParagraph"/>
        <w:numPr>
          <w:ilvl w:val="0"/>
          <w:numId w:val="18"/>
        </w:numPr>
        <w:ind w:left="567" w:hanging="567"/>
        <w:rPr>
          <w:rtl/>
          <w:lang w:bidi="ar-EG"/>
        </w:rPr>
      </w:pPr>
      <w:r>
        <w:rPr>
          <w:rFonts w:hint="cs"/>
          <w:rtl/>
          <w:lang w:bidi="ar-EG"/>
        </w:rPr>
        <w:t xml:space="preserve">وجاء في القاعدة السبعين من كتاب القواعد لابن رجب الحنبلي: </w:t>
      </w:r>
      <w:r>
        <w:rPr>
          <w:rtl/>
          <w:lang w:bidi="ar-EG"/>
        </w:rPr>
        <w:t>«</w:t>
      </w:r>
      <w:r>
        <w:rPr>
          <w:rFonts w:hint="cs"/>
          <w:rtl/>
          <w:lang w:bidi="ar-EG"/>
        </w:rPr>
        <w:t>هل يكون الواقف مصرفًا لوقفه؟ كما إذا وقف شيئًا على الفقراء، ثم افتقر، فإنه يدخل على الأصح، ونص عليه أحمد في رواية المروزي</w:t>
      </w:r>
      <w:r w:rsidRPr="0046333C">
        <w:rPr>
          <w:rFonts w:hint="cs"/>
          <w:vertAlign w:val="superscript"/>
          <w:rtl/>
          <w:lang w:bidi="ar-EG"/>
        </w:rPr>
        <w:t>(</w:t>
      </w:r>
      <w:r w:rsidRPr="0046333C">
        <w:rPr>
          <w:vertAlign w:val="superscript"/>
          <w:rtl/>
        </w:rPr>
        <w:footnoteReference w:id="53"/>
      </w:r>
      <w:r w:rsidRPr="0046333C">
        <w:rPr>
          <w:rFonts w:hint="cs"/>
          <w:vertAlign w:val="superscript"/>
          <w:rtl/>
          <w:lang w:bidi="ar-EG"/>
        </w:rPr>
        <w:t>)</w:t>
      </w:r>
      <w:r>
        <w:rPr>
          <w:rtl/>
          <w:lang w:bidi="ar-EG"/>
        </w:rPr>
        <w:t>»</w:t>
      </w:r>
      <w:r>
        <w:rPr>
          <w:rFonts w:hint="cs"/>
          <w:rtl/>
          <w:lang w:bidi="ar-EG"/>
        </w:rPr>
        <w:t>.</w:t>
      </w:r>
    </w:p>
    <w:p w14:paraId="07382757" w14:textId="1D799F86" w:rsidR="00B8354A" w:rsidRPr="007F3EF4" w:rsidRDefault="00534996" w:rsidP="00534996">
      <w:pPr>
        <w:pStyle w:val="Heading4"/>
        <w:rPr>
          <w:rtl/>
          <w:lang w:bidi="ar-EG"/>
        </w:rPr>
      </w:pPr>
      <w:r>
        <w:rPr>
          <w:rFonts w:hint="cs"/>
          <w:rtl/>
          <w:lang w:bidi="ar-EG"/>
        </w:rPr>
        <w:t>موقف الشيخ الإمام محمد أبو زهرة من الوقف على النفس</w:t>
      </w:r>
      <w:r w:rsidRPr="0046333C">
        <w:rPr>
          <w:rFonts w:hint="cs"/>
          <w:vertAlign w:val="superscript"/>
          <w:rtl/>
          <w:lang w:bidi="ar-EG"/>
        </w:rPr>
        <w:t>(</w:t>
      </w:r>
      <w:r w:rsidRPr="0046333C">
        <w:rPr>
          <w:vertAlign w:val="superscript"/>
          <w:rtl/>
        </w:rPr>
        <w:footnoteReference w:id="54"/>
      </w:r>
      <w:r w:rsidRPr="0046333C">
        <w:rPr>
          <w:rFonts w:hint="cs"/>
          <w:vertAlign w:val="superscript"/>
          <w:rtl/>
          <w:lang w:bidi="ar-EG"/>
        </w:rPr>
        <w:t>)</w:t>
      </w:r>
      <w:r>
        <w:rPr>
          <w:rFonts w:hint="cs"/>
          <w:rtl/>
          <w:lang w:bidi="ar-EG"/>
        </w:rPr>
        <w:t>:</w:t>
      </w:r>
    </w:p>
    <w:p w14:paraId="71E82FA0" w14:textId="1872A877" w:rsidR="007F3EF4" w:rsidRDefault="00534996" w:rsidP="0046333C">
      <w:pPr>
        <w:rPr>
          <w:rtl/>
          <w:lang w:bidi="ar-EG"/>
        </w:rPr>
      </w:pPr>
      <w:r>
        <w:rPr>
          <w:rFonts w:hint="cs"/>
          <w:rtl/>
          <w:lang w:bidi="ar-EG"/>
        </w:rPr>
        <w:t xml:space="preserve">في كلام طويل للشيخ الإمام محمد أبو زهرة يقول الإمام في بعض عباراته: </w:t>
      </w:r>
      <w:r>
        <w:rPr>
          <w:rtl/>
          <w:lang w:bidi="ar-EG"/>
        </w:rPr>
        <w:t>«</w:t>
      </w:r>
      <w:r>
        <w:rPr>
          <w:rFonts w:hint="cs"/>
          <w:rtl/>
          <w:lang w:bidi="ar-EG"/>
        </w:rPr>
        <w:t>أجاز أبو يوسف للواقف أن يشترط أن تكون الغلة كلها أو جزء منها لنفسه ما دام حيًّا</w:t>
      </w:r>
      <w:r>
        <w:rPr>
          <w:rtl/>
          <w:lang w:bidi="ar-EG"/>
        </w:rPr>
        <w:t>»</w:t>
      </w:r>
      <w:r>
        <w:rPr>
          <w:rFonts w:hint="cs"/>
          <w:rtl/>
          <w:lang w:bidi="ar-EG"/>
        </w:rPr>
        <w:t xml:space="preserve">. </w:t>
      </w:r>
      <w:r>
        <w:rPr>
          <w:rFonts w:hint="cs"/>
          <w:rtl/>
          <w:lang w:bidi="ar-EG"/>
        </w:rPr>
        <w:lastRenderedPageBreak/>
        <w:t xml:space="preserve">ويقول: </w:t>
      </w:r>
      <w:r>
        <w:rPr>
          <w:rtl/>
          <w:lang w:bidi="ar-EG"/>
        </w:rPr>
        <w:t>«</w:t>
      </w:r>
      <w:r>
        <w:rPr>
          <w:rFonts w:hint="cs"/>
          <w:rtl/>
          <w:lang w:bidi="ar-EG"/>
        </w:rPr>
        <w:t>اعتبر السرخسي في مبسوطه ذلك توسعة في الوقف، فذكره ضمن ما توسّع فيه أبو يوسف في الوقف إذ قال: إنه لو جعل الغلة لنفسه ما دام حيًّا فذلك حائز</w:t>
      </w:r>
      <w:r>
        <w:rPr>
          <w:rtl/>
          <w:lang w:bidi="ar-EG"/>
        </w:rPr>
        <w:t>»</w:t>
      </w:r>
      <w:r>
        <w:rPr>
          <w:rFonts w:hint="cs"/>
          <w:rtl/>
          <w:lang w:bidi="ar-EG"/>
        </w:rPr>
        <w:t xml:space="preserve"> ويقول الشيخ الإمام كذلك:</w:t>
      </w:r>
    </w:p>
    <w:p w14:paraId="2F578C17" w14:textId="7FF66800" w:rsidR="00534996" w:rsidRDefault="00534996" w:rsidP="0046333C">
      <w:pPr>
        <w:rPr>
          <w:rtl/>
          <w:lang w:bidi="ar-EG"/>
        </w:rPr>
      </w:pPr>
      <w:r>
        <w:rPr>
          <w:rtl/>
          <w:lang w:bidi="ar-EG"/>
        </w:rPr>
        <w:t>«</w:t>
      </w:r>
      <w:r>
        <w:rPr>
          <w:rFonts w:hint="cs"/>
          <w:rtl/>
          <w:lang w:bidi="ar-EG"/>
        </w:rPr>
        <w:t>والظاهرية قالوا مقالة أبي يوسف وتوسّعوا توسعته، فجوزّوا اشتراط الغلة كلها أو جزء منها لنفسه</w:t>
      </w:r>
      <w:r>
        <w:rPr>
          <w:rtl/>
          <w:lang w:bidi="ar-EG"/>
        </w:rPr>
        <w:t>»</w:t>
      </w:r>
      <w:r>
        <w:rPr>
          <w:rFonts w:hint="cs"/>
          <w:rtl/>
          <w:lang w:bidi="ar-EG"/>
        </w:rPr>
        <w:t xml:space="preserve">، ولذا قال ابن حزم في المحلّي: </w:t>
      </w:r>
      <w:r>
        <w:rPr>
          <w:rtl/>
          <w:lang w:bidi="ar-EG"/>
        </w:rPr>
        <w:t>«</w:t>
      </w:r>
      <w:r>
        <w:rPr>
          <w:rFonts w:hint="cs"/>
          <w:rtl/>
          <w:lang w:bidi="ar-EG"/>
        </w:rPr>
        <w:t>جائز للمرء أن يحبس (يقف) على من أحبّ أو على نفسه ثم على من يشاء</w:t>
      </w:r>
      <w:r>
        <w:rPr>
          <w:rtl/>
          <w:lang w:bidi="ar-EG"/>
        </w:rPr>
        <w:t>»</w:t>
      </w:r>
      <w:r>
        <w:rPr>
          <w:rFonts w:hint="cs"/>
          <w:rtl/>
          <w:lang w:bidi="ar-EG"/>
        </w:rPr>
        <w:t xml:space="preserve">، ثم يقول: وأما قولنا جائز على من يُسَبِّل على نفسه وعلى من يشاء، فلقول النبي </w:t>
      </w:r>
      <w:r>
        <w:rPr>
          <w:lang w:bidi="ar-EG"/>
        </w:rPr>
        <w:sym w:font="AGA Arabesque" w:char="F072"/>
      </w:r>
      <w:r>
        <w:rPr>
          <w:rFonts w:hint="cs"/>
          <w:rtl/>
          <w:lang w:bidi="ar-EG"/>
        </w:rPr>
        <w:t xml:space="preserve">: </w:t>
      </w:r>
      <w:r>
        <w:rPr>
          <w:rtl/>
          <w:lang w:bidi="ar-EG"/>
        </w:rPr>
        <w:t>«</w:t>
      </w:r>
      <w:r w:rsidR="008F2E00">
        <w:rPr>
          <w:rFonts w:hint="cs"/>
          <w:rtl/>
          <w:lang w:bidi="ar-EG"/>
        </w:rPr>
        <w:t>أ</w:t>
      </w:r>
      <w:r>
        <w:rPr>
          <w:rFonts w:hint="cs"/>
          <w:rtl/>
          <w:lang w:bidi="ar-EG"/>
        </w:rPr>
        <w:t xml:space="preserve">بدأ </w:t>
      </w:r>
      <w:r w:rsidR="008F2E00">
        <w:rPr>
          <w:rFonts w:hint="cs"/>
          <w:rtl/>
          <w:lang w:bidi="ar-EG"/>
        </w:rPr>
        <w:t>بنفسك فتصدّق عليها</w:t>
      </w:r>
      <w:r>
        <w:rPr>
          <w:rtl/>
          <w:lang w:bidi="ar-EG"/>
        </w:rPr>
        <w:t>»</w:t>
      </w:r>
      <w:r w:rsidR="008F2E00">
        <w:rPr>
          <w:rFonts w:hint="cs"/>
          <w:rtl/>
          <w:lang w:bidi="ar-EG"/>
        </w:rPr>
        <w:t xml:space="preserve"> وقال لعمر: تصدّق بالثمرة، فصحّ بهذا جواز صدقته على نفسه وعلى من يشاء، ومما قاله الشيخ الإمام كذلك:</w:t>
      </w:r>
    </w:p>
    <w:p w14:paraId="5985D3C5" w14:textId="394FAACC" w:rsidR="008F2E00" w:rsidRDefault="008F2E00" w:rsidP="0046333C">
      <w:pPr>
        <w:rPr>
          <w:rtl/>
          <w:lang w:bidi="ar-EG"/>
        </w:rPr>
      </w:pPr>
      <w:r>
        <w:rPr>
          <w:rFonts w:hint="cs"/>
          <w:rtl/>
          <w:lang w:bidi="ar-EG"/>
        </w:rPr>
        <w:t>إن مذهب الإمام أحمد فيه قولان مُصَحّمان (أحدهما) أن الوقف صحيح والشرط باطل وذلك إذا اشترط الواقف أن تكون الغلة لنفسه (والثاني) أن الشرط صحيح والوقف صحيح، كما قال بأن الأكثرين من فقهاء الحنابلة يقولون بالقول الأول، ونقل طائفة من أقوالهم.</w:t>
      </w:r>
    </w:p>
    <w:p w14:paraId="0EF676D6" w14:textId="678D20DF" w:rsidR="008F2E00" w:rsidRDefault="008F2E00" w:rsidP="0046333C">
      <w:pPr>
        <w:rPr>
          <w:rtl/>
          <w:lang w:bidi="ar-EG"/>
        </w:rPr>
      </w:pPr>
      <w:r>
        <w:rPr>
          <w:rFonts w:hint="cs"/>
          <w:rtl/>
          <w:lang w:bidi="ar-EG"/>
        </w:rPr>
        <w:t>وقد لاحظ الشيخ الإمام ملاحظة دقيقة في مذهب الإمام أحمد فقال: ولكن لو ألقينا نظرة فاحصة لكشفت لنا عن فكرة دقيقة في مذهب أحمد وهي: أن الوقف على النفس الذي يقول (الواقف) فيه: وقفت أرضي على أن تكون غلاتها في حياتي... ليس هو الوقف بشرط الإنفاق منه الذي يقول فيه: وقفت أرضي على شرط أن آكل منها أو أنفق من غلاتها ما يكفيني بالمعروف فإن الأول يبيح للواقف أن يأخذ الغلات (كلها) بالغًا ما بلغت، والثاني: لا يبيح له أن يأخذ منها إلا ما يكفيه وأهله بالمعروف وعلى مقدار حاجته.</w:t>
      </w:r>
    </w:p>
    <w:p w14:paraId="39EF34EF" w14:textId="072702C2" w:rsidR="008F2E00" w:rsidRDefault="008F2E00" w:rsidP="0046333C">
      <w:pPr>
        <w:rPr>
          <w:rtl/>
          <w:lang w:bidi="ar-EG"/>
        </w:rPr>
      </w:pPr>
      <w:r>
        <w:rPr>
          <w:rFonts w:hint="cs"/>
          <w:rtl/>
          <w:lang w:bidi="ar-EG"/>
        </w:rPr>
        <w:t>ويظهر من نصوص صريحة في بعض كتب الحنابلة أنهم يفرقون في الحكم بين هاتين الحالين، فالراجح في الحالة الأولى بطلان الشرط وصحة الوقف، والراجح في الحالة الثانية صحة الوقف والشرط معًا، وقد انتهى الشيخ الإمام من بيانه لهذه الملاحظة إلى القول:</w:t>
      </w:r>
    </w:p>
    <w:p w14:paraId="14AB05D5" w14:textId="57E4AD6B" w:rsidR="008F2E00" w:rsidRDefault="008F2E00" w:rsidP="0046333C">
      <w:pPr>
        <w:rPr>
          <w:rtl/>
          <w:lang w:bidi="ar-EG"/>
        </w:rPr>
      </w:pPr>
      <w:r>
        <w:rPr>
          <w:rFonts w:hint="cs"/>
          <w:rtl/>
          <w:lang w:bidi="ar-EG"/>
        </w:rPr>
        <w:lastRenderedPageBreak/>
        <w:t>إن الحكم مختلف في الحالين، لاختلاف جوهر الشرطين، والمرمي منهما، فإن الأول يرمي إلى اختيار (أخذ) الغلات كلها أو بعضها مدة حياته ولو من غير حاجة والثاني يرمي إلى أخذ ما يكفيه وأهله بالمعروف عند الحاجة.</w:t>
      </w:r>
    </w:p>
    <w:p w14:paraId="26887186" w14:textId="131E77A0" w:rsidR="008F2E00" w:rsidRDefault="008F2E00" w:rsidP="0046333C">
      <w:pPr>
        <w:rPr>
          <w:rtl/>
          <w:lang w:bidi="ar-EG"/>
        </w:rPr>
      </w:pPr>
      <w:r>
        <w:rPr>
          <w:rFonts w:hint="cs"/>
          <w:rtl/>
          <w:lang w:bidi="ar-EG"/>
        </w:rPr>
        <w:t>ويجمل الشيخ الإمام الخلاف بين العلماء في هذه المسألة فيقول: إن الفقهاء اختلفوا اختلافًا بّينا في صحة اشتراط كل الغلة أو بعضها للواقف ما دام حيًّا فأبو يوسف وابن أبي ليلى وابن شبرمة، وعدد قليل من الشافعية والحنابلة والظاهرية يُصحّح الشرط والوقف، ومحمد (بن الحسن) والمالكية وجمهور الشافعية والأكثرون من الحنابلة والشيعة الإمامية، على أنه لا يصح اشتراط الغلة كلها أو بعضها لنفسه، وإن اختلفوا في تشدّدهم في المنع، فمحمد والشيعة وجمهور الشافعية يحكمون ببطلان الوقف لبطلان الشرط، والباقون يحكمون ببطلان الشرط ويصحّحون الوقف.</w:t>
      </w:r>
    </w:p>
    <w:p w14:paraId="32A070FB" w14:textId="01A866BA" w:rsidR="008F2E00" w:rsidRDefault="008F2E00" w:rsidP="0046333C">
      <w:pPr>
        <w:rPr>
          <w:rtl/>
          <w:lang w:bidi="ar-EG"/>
        </w:rPr>
      </w:pPr>
      <w:r>
        <w:rPr>
          <w:rFonts w:hint="cs"/>
          <w:rtl/>
          <w:lang w:bidi="ar-EG"/>
        </w:rPr>
        <w:t>وبعد أن استعرض الشيخ الإمام أدلة المانعين والمجيزين للوقف على النفس وما عساه أن يكون برهانًا لكل فريق انتهى إلى القول: لئن كان لنا أن نختار من بينها (أي من بين أقوال الفقهاء في الوقف على النفس) رأيًا، في العمل به مصلحة، ونراه يلتئم تمام الالتئام مع مرمى الشارع في أن يشترط الغلات لنفسه، ولا أن يأكل منها بالشرط، إلا إذا استثنى لنفسه شيئًا يسيرًا، بحيث لا يتّهم بأنه قصد حرمان ورثته، وإلا إذا احتاج.</w:t>
      </w:r>
    </w:p>
    <w:p w14:paraId="365B3B1B" w14:textId="1E42E53C" w:rsidR="008F2E00" w:rsidRDefault="008F2E00" w:rsidP="0046333C">
      <w:pPr>
        <w:rPr>
          <w:rtl/>
          <w:lang w:bidi="ar-EG"/>
        </w:rPr>
      </w:pPr>
      <w:r>
        <w:rPr>
          <w:rFonts w:hint="cs"/>
          <w:rtl/>
          <w:lang w:bidi="ar-EG"/>
        </w:rPr>
        <w:t>ونحن نرى أن الواقف ليس له أن يشترط من وقفه شيئًا إلا مقدار نفقته عند حاجته أو حاجة من يعولهم، ولا يعطون إلا ما يكفيهم بالمعروف، ونرى أن هذا الرأي فوق أنه موافق للآثار كلها، ملائم لمقتضى الوقف ومرماه، وفيه المصلحة الظاهرة، لو أخذ به في عصرنا الحاضر، لأنه يقلّ من الأوقاف (أي يحدّ من إنشائها)... ولأنه يقلّ على الأخصّ الوقف الذي يقصد منه حرمان لبعض الورثة، أو تعطيف نصيبهم (أي إنقاصه) لأن الرجل الذي يحابي بعض ورثته ويحرم أو ينقض الآخرين أمامه إحدى طرائق ثلاث:</w:t>
      </w:r>
    </w:p>
    <w:p w14:paraId="2CEEF0EB" w14:textId="064979CA" w:rsidR="008F2E00" w:rsidRDefault="008F2E00">
      <w:pPr>
        <w:pStyle w:val="ListParagraph"/>
        <w:numPr>
          <w:ilvl w:val="0"/>
          <w:numId w:val="19"/>
        </w:numPr>
        <w:ind w:left="567" w:hanging="567"/>
        <w:rPr>
          <w:lang w:bidi="ar-EG"/>
        </w:rPr>
      </w:pPr>
      <w:r>
        <w:rPr>
          <w:rFonts w:hint="cs"/>
          <w:rtl/>
          <w:lang w:bidi="ar-EG"/>
        </w:rPr>
        <w:t>الهبة في حياته.</w:t>
      </w:r>
    </w:p>
    <w:p w14:paraId="51D5291E" w14:textId="595F8932" w:rsidR="008F2E00" w:rsidRDefault="008F2E00">
      <w:pPr>
        <w:pStyle w:val="ListParagraph"/>
        <w:numPr>
          <w:ilvl w:val="0"/>
          <w:numId w:val="19"/>
        </w:numPr>
        <w:ind w:left="567" w:hanging="567"/>
        <w:rPr>
          <w:lang w:bidi="ar-EG"/>
        </w:rPr>
      </w:pPr>
      <w:r>
        <w:rPr>
          <w:rFonts w:hint="cs"/>
          <w:rtl/>
          <w:lang w:bidi="ar-EG"/>
        </w:rPr>
        <w:t>الوصية.</w:t>
      </w:r>
    </w:p>
    <w:p w14:paraId="620A3CA3" w14:textId="6D05D4DF" w:rsidR="008F2E00" w:rsidRDefault="008F2E00">
      <w:pPr>
        <w:pStyle w:val="ListParagraph"/>
        <w:numPr>
          <w:ilvl w:val="0"/>
          <w:numId w:val="19"/>
        </w:numPr>
        <w:ind w:left="567" w:hanging="567"/>
        <w:rPr>
          <w:lang w:bidi="ar-EG"/>
        </w:rPr>
      </w:pPr>
      <w:r>
        <w:rPr>
          <w:rFonts w:hint="cs"/>
          <w:rtl/>
          <w:lang w:bidi="ar-EG"/>
        </w:rPr>
        <w:t>الوقف.</w:t>
      </w:r>
    </w:p>
    <w:p w14:paraId="6F843E67" w14:textId="1DBE273F" w:rsidR="008F2E00" w:rsidRDefault="008F2E00" w:rsidP="008F2E00">
      <w:pPr>
        <w:rPr>
          <w:rtl/>
          <w:lang w:bidi="ar-EG"/>
        </w:rPr>
      </w:pPr>
      <w:r>
        <w:rPr>
          <w:rFonts w:hint="cs"/>
          <w:rtl/>
          <w:lang w:bidi="ar-EG"/>
        </w:rPr>
        <w:lastRenderedPageBreak/>
        <w:t>فإذا أخذنا بقول الفقهاء الذين لا يعتبرون شرط الواقف الغلة لنفسه من الشروط الواجبة النفاذ، فقد سددنا الطرق على من تكون غايته تخصيص بعض ورثته بمقدار أكبر ونصيب أدنى، وصعّبنا عليه الوصول إلى غرضه ودفعنا بعض الواقفين إلى طريق الاعتدال.</w:t>
      </w:r>
    </w:p>
    <w:p w14:paraId="1216CEA4" w14:textId="25D1720E" w:rsidR="008F2E00" w:rsidRPr="00534996" w:rsidRDefault="008F2E00" w:rsidP="008F2E00">
      <w:pPr>
        <w:rPr>
          <w:rtl/>
          <w:lang w:bidi="ar-EG"/>
        </w:rPr>
      </w:pPr>
      <w:r>
        <w:rPr>
          <w:rFonts w:hint="cs"/>
          <w:rtl/>
          <w:lang w:bidi="ar-EG"/>
        </w:rPr>
        <w:t>ويختتم الشيخ الإمام محمد أبو زهرة موقفه من الوقف على النفس بالتصريح بأن مقالته تخص مرحلة العمل بالوقف الأهلي أو الذرين أما مرحلة ما بعد إلغاء الوقف الأهلي وذلك بالمرسوم بالقانون رقم 180 لسنة 1952 بإلغاء نظام الوقف على غير الخيرات المنشور بالوقائع المصرية العدد 132 مكرر غير عادي في 14 سبتمبر 1952 والذي ترتب عليه إحجام الناس عن الوقف، فإن الشيخ الإمام يرى أنه من المصلحة لترغيب الناس في الوقف الخيري إباحة الوقف على النفس لفتح باب الوقف الخيري، وينهى الشيخ الإمام تصريحه بقول: وهكذا: صار ما كان شرًّا بعد تحوّل الحال، خيرًا</w:t>
      </w:r>
      <w:r w:rsidRPr="0046333C">
        <w:rPr>
          <w:rFonts w:hint="cs"/>
          <w:vertAlign w:val="superscript"/>
          <w:rtl/>
          <w:lang w:bidi="ar-EG"/>
        </w:rPr>
        <w:t>(</w:t>
      </w:r>
      <w:r w:rsidRPr="0046333C">
        <w:rPr>
          <w:vertAlign w:val="superscript"/>
          <w:rtl/>
        </w:rPr>
        <w:footnoteReference w:id="55"/>
      </w:r>
      <w:r w:rsidRPr="0046333C">
        <w:rPr>
          <w:rFonts w:hint="cs"/>
          <w:vertAlign w:val="superscript"/>
          <w:rtl/>
          <w:lang w:bidi="ar-EG"/>
        </w:rPr>
        <w:t>)</w:t>
      </w:r>
      <w:r>
        <w:rPr>
          <w:rFonts w:hint="cs"/>
          <w:rtl/>
          <w:lang w:bidi="ar-EG"/>
        </w:rPr>
        <w:t>.</w:t>
      </w:r>
    </w:p>
    <w:p w14:paraId="5B379437" w14:textId="420CF322" w:rsidR="009B120B" w:rsidRDefault="00A407DD" w:rsidP="0046333C">
      <w:pPr>
        <w:rPr>
          <w:rtl/>
          <w:lang w:bidi="ar-EG"/>
        </w:rPr>
      </w:pPr>
      <w:r>
        <w:rPr>
          <w:rFonts w:hint="cs"/>
          <w:rtl/>
          <w:lang w:bidi="ar-EG"/>
        </w:rPr>
        <w:t>فسبحان مُغيّر الأحوال، وسبحان مُغيّر الاجتهاد بتغير الزمان والمكان والأحوال وسبحان مُبدّل الأحكام بحسب تبدّل الأسباب.</w:t>
      </w:r>
    </w:p>
    <w:p w14:paraId="05D826B0" w14:textId="77777777" w:rsidR="009B120B" w:rsidRDefault="009B120B">
      <w:pPr>
        <w:spacing w:before="0" w:after="120" w:line="240" w:lineRule="auto"/>
        <w:ind w:firstLine="0"/>
        <w:jc w:val="left"/>
        <w:rPr>
          <w:rtl/>
          <w:lang w:bidi="ar-EG"/>
        </w:rPr>
      </w:pPr>
      <w:r>
        <w:rPr>
          <w:rtl/>
          <w:lang w:bidi="ar-EG"/>
        </w:rPr>
        <w:br w:type="page"/>
      </w:r>
    </w:p>
    <w:p w14:paraId="003D12F5" w14:textId="6885B7FD" w:rsidR="007F3EF4" w:rsidRDefault="009B120B" w:rsidP="009B120B">
      <w:pPr>
        <w:pStyle w:val="Heading1"/>
        <w:rPr>
          <w:rtl/>
          <w:lang w:bidi="ar-EG"/>
        </w:rPr>
      </w:pPr>
      <w:r>
        <w:rPr>
          <w:rFonts w:hint="cs"/>
          <w:rtl/>
          <w:lang w:bidi="ar-EG"/>
        </w:rPr>
        <w:lastRenderedPageBreak/>
        <w:t>الفصـــل الثالـــث</w:t>
      </w:r>
      <w:r>
        <w:rPr>
          <w:rtl/>
          <w:lang w:bidi="ar-EG"/>
        </w:rPr>
        <w:br/>
      </w:r>
      <w:r>
        <w:rPr>
          <w:rFonts w:hint="cs"/>
          <w:rtl/>
          <w:lang w:bidi="ar-EG"/>
        </w:rPr>
        <w:t>موقـــف الدراســـة الماثلـــة مــن</w:t>
      </w:r>
      <w:r>
        <w:rPr>
          <w:rtl/>
          <w:lang w:bidi="ar-EG"/>
        </w:rPr>
        <w:br/>
      </w:r>
      <w:r>
        <w:rPr>
          <w:rFonts w:hint="cs"/>
          <w:rtl/>
          <w:lang w:bidi="ar-EG"/>
        </w:rPr>
        <w:t>1- الوقـــــــــف علــــى النفـــــــــس، ومــــــن</w:t>
      </w:r>
      <w:r>
        <w:rPr>
          <w:rtl/>
          <w:lang w:bidi="ar-EG"/>
        </w:rPr>
        <w:br/>
      </w:r>
      <w:r>
        <w:rPr>
          <w:rFonts w:hint="cs"/>
          <w:rtl/>
          <w:lang w:bidi="ar-EG"/>
        </w:rPr>
        <w:t>2- استثناء منافع المال الموقوف لصالح الواقف</w:t>
      </w:r>
    </w:p>
    <w:p w14:paraId="4B995D86" w14:textId="2621DB36" w:rsidR="009B120B" w:rsidRDefault="009B120B" w:rsidP="0046333C">
      <w:pPr>
        <w:rPr>
          <w:rtl/>
          <w:lang w:bidi="ar-EG"/>
        </w:rPr>
      </w:pPr>
      <w:r>
        <w:rPr>
          <w:rFonts w:hint="cs"/>
          <w:rtl/>
          <w:lang w:bidi="ar-EG"/>
        </w:rPr>
        <w:t>ترجح الدراسة الماثلة جواز وصحة أن يقف المسلم ماله كله أو بعض ماله على نفسه طيلة حياته أو لمدة زمنية محددة، تعود بعدها منافع العين الموقوفة إلى جهة البر والنفع العام التي حددها الواقف في وثيقة إنشاء وقفه، وذلك بأن يشترط الواقف أن يكون له حق الانتفاع الشخصي بمنافع العين الموقوفة ما دام حيًّا، ثم ينتقل حق الانتفاع بمناع العين إلى مستشفى علاج سرطان الأطفال أو إلى أي جهة نفع عام أخرى بعد موته.</w:t>
      </w:r>
    </w:p>
    <w:p w14:paraId="5C93D5EC" w14:textId="1862E719" w:rsidR="009B120B" w:rsidRDefault="009B120B" w:rsidP="0046333C">
      <w:pPr>
        <w:rPr>
          <w:rtl/>
          <w:lang w:bidi="ar-EG"/>
        </w:rPr>
      </w:pPr>
      <w:r>
        <w:rPr>
          <w:rFonts w:hint="cs"/>
          <w:rtl/>
          <w:lang w:bidi="ar-EG"/>
        </w:rPr>
        <w:t>كما ترجح الدراسة الماثلة أن يقف الواقف بعض ماله ابتداءً على إحدى جهات البر والنفع العام وقفًا مؤبدًا أو وقفًا مؤقتًا وأن يشترط لنفسه أن يكون له حق الانتفاع الشخصي بمنافع المال الموقوف ما دام حيًا وذلك على سبيل الاستثناء.</w:t>
      </w:r>
    </w:p>
    <w:p w14:paraId="66CF2AE0" w14:textId="5387D92F" w:rsidR="009B120B" w:rsidRDefault="009B120B" w:rsidP="009B120B">
      <w:pPr>
        <w:pStyle w:val="Heading2"/>
        <w:rPr>
          <w:rtl/>
          <w:lang w:bidi="ar-EG"/>
        </w:rPr>
      </w:pPr>
      <w:r>
        <w:rPr>
          <w:rFonts w:hint="cs"/>
          <w:rtl/>
          <w:lang w:bidi="ar-EG"/>
        </w:rPr>
        <w:t>أدلة الدراسة الماثلة على القضية الأولى (جواز وصحة الوقف على النفس):</w:t>
      </w:r>
    </w:p>
    <w:p w14:paraId="2ECC6469" w14:textId="22602F19" w:rsidR="009B120B" w:rsidRDefault="009B120B" w:rsidP="009B120B">
      <w:pPr>
        <w:rPr>
          <w:rFonts w:eastAsiaTheme="minorHAnsi"/>
          <w:kern w:val="0"/>
          <w:rtl/>
        </w:rPr>
      </w:pPr>
      <w:r w:rsidRPr="009B120B">
        <w:rPr>
          <w:rStyle w:val="Heading3Char"/>
          <w:rFonts w:hint="cs"/>
          <w:rtl/>
        </w:rPr>
        <w:t>الدليل الأول:</w:t>
      </w:r>
      <w:r w:rsidRPr="009615E6">
        <w:rPr>
          <w:rFonts w:hint="cs"/>
          <w:rtl/>
        </w:rPr>
        <w:t xml:space="preserve"> </w:t>
      </w:r>
      <w:r>
        <w:rPr>
          <w:rFonts w:hint="cs"/>
          <w:rtl/>
          <w:lang w:bidi="ar-EG"/>
        </w:rPr>
        <w:t xml:space="preserve">عموميات أدلة مشروعية الوقف الخيري باعتباره بابًا من أبواب الخير التي ينبغي التنافس فيها ابتغاء مرضاة الله ونيلًا لثواب الصدقة الجارية وتحقيقًا للمصالح العامة، ومن هذه الأدلة قوله تعالى: </w:t>
      </w:r>
      <w:r w:rsidR="009615E6">
        <w:rPr>
          <w:rFonts w:ascii="QCF2BSML" w:eastAsiaTheme="minorHAnsi" w:hAnsi="QCF2BSML" w:cs="QCF2BSML"/>
          <w:color w:val="000000"/>
          <w:kern w:val="0"/>
          <w:sz w:val="26"/>
          <w:szCs w:val="26"/>
          <w:rtl/>
        </w:rPr>
        <w:t>ﱵﭐ</w:t>
      </w:r>
      <w:r w:rsidR="009615E6">
        <w:rPr>
          <w:rFonts w:ascii="QCF2023" w:eastAsiaTheme="minorHAnsi" w:hAnsi="QCF2023" w:cs="QCF2023"/>
          <w:color w:val="000000"/>
          <w:kern w:val="0"/>
          <w:sz w:val="2"/>
          <w:szCs w:val="2"/>
          <w:rtl/>
        </w:rPr>
        <w:t xml:space="preserve"> </w:t>
      </w:r>
      <w:r w:rsidR="009615E6">
        <w:rPr>
          <w:rFonts w:ascii="QCF2023" w:eastAsiaTheme="minorHAnsi" w:hAnsi="QCF2023" w:cs="QCF2023"/>
          <w:color w:val="000000"/>
          <w:kern w:val="0"/>
          <w:sz w:val="26"/>
          <w:szCs w:val="26"/>
          <w:rtl/>
        </w:rPr>
        <w:t>ﱞ</w:t>
      </w:r>
      <w:r w:rsidR="009615E6">
        <w:rPr>
          <w:rFonts w:ascii="QCF2023" w:eastAsiaTheme="minorHAnsi" w:hAnsi="QCF2023" w:cs="QCF2023"/>
          <w:color w:val="000000"/>
          <w:kern w:val="0"/>
          <w:sz w:val="2"/>
          <w:szCs w:val="2"/>
          <w:rtl/>
        </w:rPr>
        <w:t xml:space="preserve"> </w:t>
      </w:r>
      <w:r w:rsidR="009615E6">
        <w:rPr>
          <w:rFonts w:ascii="QCF2023" w:eastAsiaTheme="minorHAnsi" w:hAnsi="QCF2023" w:cs="QCF2023"/>
          <w:color w:val="000000"/>
          <w:kern w:val="0"/>
          <w:sz w:val="26"/>
          <w:szCs w:val="26"/>
          <w:rtl/>
        </w:rPr>
        <w:t>ﱟﱠ</w:t>
      </w:r>
      <w:r w:rsidR="009615E6">
        <w:rPr>
          <w:rFonts w:ascii="QCF2023" w:eastAsiaTheme="minorHAnsi" w:hAnsi="QCF2023" w:cs="QCF2023"/>
          <w:color w:val="000000"/>
          <w:kern w:val="0"/>
          <w:sz w:val="2"/>
          <w:szCs w:val="2"/>
          <w:rtl/>
        </w:rPr>
        <w:t xml:space="preserve"> </w:t>
      </w:r>
      <w:r w:rsidR="009615E6">
        <w:rPr>
          <w:rFonts w:ascii="QCF2BSML" w:eastAsiaTheme="minorHAnsi" w:hAnsi="QCF2BSML" w:cs="QCF2BSML"/>
          <w:color w:val="000000"/>
          <w:kern w:val="0"/>
          <w:sz w:val="26"/>
          <w:szCs w:val="26"/>
          <w:rtl/>
        </w:rPr>
        <w:t>ﱴ</w:t>
      </w:r>
      <w:r w:rsidR="009615E6">
        <w:rPr>
          <w:rFonts w:eastAsiaTheme="minorHAnsi" w:hint="cs"/>
          <w:kern w:val="0"/>
          <w:rtl/>
        </w:rPr>
        <w:t xml:space="preserve"> [الآية رقم:148 سورة البقرة] وقوله عز وجل: </w:t>
      </w:r>
      <w:r w:rsidR="009615E6">
        <w:rPr>
          <w:rFonts w:ascii="QCF2BSML" w:eastAsiaTheme="minorHAnsi" w:hAnsi="QCF2BSML" w:cs="QCF2BSML"/>
          <w:color w:val="000000"/>
          <w:kern w:val="0"/>
          <w:sz w:val="26"/>
          <w:szCs w:val="26"/>
          <w:rtl/>
        </w:rPr>
        <w:t>ﱵﭐ</w:t>
      </w:r>
      <w:r w:rsidR="009615E6">
        <w:rPr>
          <w:rFonts w:ascii="QCF2067" w:eastAsiaTheme="minorHAnsi" w:hAnsi="QCF2067" w:cs="QCF2067"/>
          <w:color w:val="000000"/>
          <w:kern w:val="0"/>
          <w:sz w:val="2"/>
          <w:szCs w:val="2"/>
          <w:rtl/>
        </w:rPr>
        <w:t xml:space="preserve"> </w:t>
      </w:r>
      <w:r w:rsidR="009615E6">
        <w:rPr>
          <w:rFonts w:ascii="QCF2067" w:eastAsiaTheme="minorHAnsi" w:hAnsi="QCF2067" w:cs="QCF2067"/>
          <w:color w:val="000000"/>
          <w:kern w:val="0"/>
          <w:sz w:val="26"/>
          <w:szCs w:val="26"/>
          <w:rtl/>
        </w:rPr>
        <w:t>ﱂ</w:t>
      </w:r>
      <w:r w:rsidR="009615E6">
        <w:rPr>
          <w:rFonts w:ascii="QCF2067" w:eastAsiaTheme="minorHAnsi" w:hAnsi="QCF2067" w:cs="QCF2067"/>
          <w:color w:val="000000"/>
          <w:kern w:val="0"/>
          <w:sz w:val="2"/>
          <w:szCs w:val="2"/>
          <w:rtl/>
        </w:rPr>
        <w:t xml:space="preserve"> </w:t>
      </w:r>
      <w:r w:rsidR="009615E6">
        <w:rPr>
          <w:rFonts w:ascii="QCF2067" w:eastAsiaTheme="minorHAnsi" w:hAnsi="QCF2067" w:cs="QCF2067"/>
          <w:color w:val="000000"/>
          <w:kern w:val="0"/>
          <w:sz w:val="26"/>
          <w:szCs w:val="26"/>
          <w:rtl/>
        </w:rPr>
        <w:t>ﱃ</w:t>
      </w:r>
      <w:r w:rsidR="009615E6">
        <w:rPr>
          <w:rFonts w:ascii="QCF2067" w:eastAsiaTheme="minorHAnsi" w:hAnsi="QCF2067" w:cs="QCF2067"/>
          <w:color w:val="000000"/>
          <w:kern w:val="0"/>
          <w:sz w:val="2"/>
          <w:szCs w:val="2"/>
          <w:rtl/>
        </w:rPr>
        <w:t xml:space="preserve"> </w:t>
      </w:r>
      <w:r w:rsidR="009615E6">
        <w:rPr>
          <w:rFonts w:ascii="QCF2067" w:eastAsiaTheme="minorHAnsi" w:hAnsi="QCF2067" w:cs="QCF2067"/>
          <w:color w:val="000000"/>
          <w:kern w:val="0"/>
          <w:sz w:val="26"/>
          <w:szCs w:val="26"/>
          <w:rtl/>
        </w:rPr>
        <w:t>ﱄ</w:t>
      </w:r>
      <w:r w:rsidR="009615E6">
        <w:rPr>
          <w:rFonts w:ascii="QCF2067" w:eastAsiaTheme="minorHAnsi" w:hAnsi="QCF2067" w:cs="QCF2067"/>
          <w:color w:val="000000"/>
          <w:kern w:val="0"/>
          <w:sz w:val="2"/>
          <w:szCs w:val="2"/>
          <w:rtl/>
        </w:rPr>
        <w:t xml:space="preserve"> </w:t>
      </w:r>
      <w:r w:rsidR="009615E6">
        <w:rPr>
          <w:rFonts w:ascii="QCF2067" w:eastAsiaTheme="minorHAnsi" w:hAnsi="QCF2067" w:cs="QCF2067"/>
          <w:color w:val="000000"/>
          <w:kern w:val="0"/>
          <w:sz w:val="26"/>
          <w:szCs w:val="26"/>
          <w:rtl/>
        </w:rPr>
        <w:t>ﱅ</w:t>
      </w:r>
      <w:r w:rsidR="009615E6">
        <w:rPr>
          <w:rFonts w:ascii="QCF2067" w:eastAsiaTheme="minorHAnsi" w:hAnsi="QCF2067" w:cs="QCF2067"/>
          <w:color w:val="000000"/>
          <w:kern w:val="0"/>
          <w:sz w:val="2"/>
          <w:szCs w:val="2"/>
          <w:rtl/>
        </w:rPr>
        <w:t xml:space="preserve"> </w:t>
      </w:r>
      <w:r w:rsidR="009615E6">
        <w:rPr>
          <w:rFonts w:ascii="QCF2067" w:eastAsiaTheme="minorHAnsi" w:hAnsi="QCF2067" w:cs="QCF2067"/>
          <w:color w:val="000000"/>
          <w:kern w:val="0"/>
          <w:sz w:val="26"/>
          <w:szCs w:val="26"/>
          <w:rtl/>
        </w:rPr>
        <w:t>ﱆ</w:t>
      </w:r>
      <w:r w:rsidR="009615E6">
        <w:rPr>
          <w:rFonts w:ascii="QCF2067" w:eastAsiaTheme="minorHAnsi" w:hAnsi="QCF2067" w:cs="QCF2067"/>
          <w:color w:val="000000"/>
          <w:kern w:val="0"/>
          <w:sz w:val="2"/>
          <w:szCs w:val="2"/>
          <w:rtl/>
        </w:rPr>
        <w:t xml:space="preserve"> </w:t>
      </w:r>
      <w:r w:rsidR="009615E6">
        <w:rPr>
          <w:rFonts w:ascii="QCF2BSML" w:eastAsiaTheme="minorHAnsi" w:hAnsi="QCF2BSML" w:cs="QCF2BSML"/>
          <w:color w:val="000000"/>
          <w:kern w:val="0"/>
          <w:sz w:val="26"/>
          <w:szCs w:val="26"/>
          <w:rtl/>
        </w:rPr>
        <w:t>ﱴ</w:t>
      </w:r>
      <w:r w:rsidR="009615E6">
        <w:rPr>
          <w:rFonts w:eastAsiaTheme="minorHAnsi" w:hint="cs"/>
          <w:kern w:val="0"/>
          <w:rtl/>
        </w:rPr>
        <w:t xml:space="preserve"> [الآية رقم: 133 سورة آل عمران] وقوله </w:t>
      </w:r>
      <w:r w:rsidR="009615E6">
        <w:rPr>
          <w:rFonts w:eastAsiaTheme="minorHAnsi"/>
          <w:kern w:val="0"/>
        </w:rPr>
        <w:sym w:font="AGA Arabesque" w:char="F072"/>
      </w:r>
      <w:r w:rsidR="009615E6">
        <w:rPr>
          <w:rFonts w:eastAsiaTheme="minorHAnsi" w:hint="cs"/>
          <w:kern w:val="0"/>
          <w:rtl/>
        </w:rPr>
        <w:t xml:space="preserve">: </w:t>
      </w:r>
      <w:r w:rsidR="009615E6">
        <w:rPr>
          <w:rFonts w:eastAsiaTheme="minorHAnsi"/>
          <w:kern w:val="0"/>
          <w:rtl/>
        </w:rPr>
        <w:t>«</w:t>
      </w:r>
      <w:r w:rsidR="009615E6">
        <w:rPr>
          <w:rFonts w:eastAsiaTheme="minorHAnsi" w:hint="cs"/>
          <w:kern w:val="0"/>
          <w:rtl/>
        </w:rPr>
        <w:t>إذا مات ابن آدم انقطع عمله إلا من ثلاث: صدقة جارية أو علم ينتفع به أو ولد صالح يدعو له</w:t>
      </w:r>
      <w:r w:rsidR="009615E6">
        <w:rPr>
          <w:rFonts w:eastAsiaTheme="minorHAnsi"/>
          <w:kern w:val="0"/>
          <w:rtl/>
        </w:rPr>
        <w:t>»</w:t>
      </w:r>
      <w:r w:rsidR="009615E6">
        <w:rPr>
          <w:rFonts w:eastAsiaTheme="minorHAnsi" w:hint="cs"/>
          <w:kern w:val="0"/>
          <w:rtl/>
        </w:rPr>
        <w:t xml:space="preserve"> وقوله عز وجل: </w:t>
      </w:r>
      <w:r w:rsidR="009615E6">
        <w:rPr>
          <w:rFonts w:ascii="QCF2BSML" w:eastAsiaTheme="minorHAnsi" w:hAnsi="QCF2BSML" w:cs="QCF2BSML"/>
          <w:color w:val="000000"/>
          <w:kern w:val="0"/>
          <w:sz w:val="26"/>
          <w:szCs w:val="26"/>
          <w:rtl/>
        </w:rPr>
        <w:t>ﱵﭐ</w:t>
      </w:r>
      <w:r w:rsidR="009615E6">
        <w:rPr>
          <w:rFonts w:ascii="QCF2062" w:eastAsiaTheme="minorHAnsi" w:hAnsi="QCF2062" w:cs="QCF2062"/>
          <w:color w:val="000000"/>
          <w:kern w:val="0"/>
          <w:sz w:val="2"/>
          <w:szCs w:val="2"/>
          <w:rtl/>
        </w:rPr>
        <w:t xml:space="preserve"> </w:t>
      </w:r>
      <w:r w:rsidR="009615E6">
        <w:rPr>
          <w:rFonts w:ascii="QCF2062" w:eastAsiaTheme="minorHAnsi" w:hAnsi="QCF2062" w:cs="QCF2062"/>
          <w:color w:val="000000"/>
          <w:kern w:val="0"/>
          <w:sz w:val="26"/>
          <w:szCs w:val="26"/>
          <w:rtl/>
        </w:rPr>
        <w:t>ﱁ</w:t>
      </w:r>
      <w:r w:rsidR="009615E6">
        <w:rPr>
          <w:rFonts w:ascii="QCF2062" w:eastAsiaTheme="minorHAnsi" w:hAnsi="QCF2062" w:cs="QCF2062"/>
          <w:color w:val="000000"/>
          <w:kern w:val="0"/>
          <w:sz w:val="2"/>
          <w:szCs w:val="2"/>
          <w:rtl/>
        </w:rPr>
        <w:t xml:space="preserve"> </w:t>
      </w:r>
      <w:r w:rsidR="009615E6">
        <w:rPr>
          <w:rFonts w:ascii="QCF2062" w:eastAsiaTheme="minorHAnsi" w:hAnsi="QCF2062" w:cs="QCF2062"/>
          <w:color w:val="000000"/>
          <w:kern w:val="0"/>
          <w:sz w:val="26"/>
          <w:szCs w:val="26"/>
          <w:rtl/>
        </w:rPr>
        <w:t>ﱂ</w:t>
      </w:r>
      <w:r w:rsidR="009615E6">
        <w:rPr>
          <w:rFonts w:ascii="QCF2062" w:eastAsiaTheme="minorHAnsi" w:hAnsi="QCF2062" w:cs="QCF2062"/>
          <w:color w:val="000000"/>
          <w:kern w:val="0"/>
          <w:sz w:val="2"/>
          <w:szCs w:val="2"/>
          <w:rtl/>
        </w:rPr>
        <w:t xml:space="preserve"> </w:t>
      </w:r>
      <w:r w:rsidR="009615E6">
        <w:rPr>
          <w:rFonts w:ascii="QCF2062" w:eastAsiaTheme="minorHAnsi" w:hAnsi="QCF2062" w:cs="QCF2062"/>
          <w:color w:val="000000"/>
          <w:kern w:val="0"/>
          <w:sz w:val="26"/>
          <w:szCs w:val="26"/>
          <w:rtl/>
        </w:rPr>
        <w:t>ﱃ</w:t>
      </w:r>
      <w:r w:rsidR="009615E6">
        <w:rPr>
          <w:rFonts w:ascii="QCF2062" w:eastAsiaTheme="minorHAnsi" w:hAnsi="QCF2062" w:cs="QCF2062"/>
          <w:color w:val="000000"/>
          <w:kern w:val="0"/>
          <w:sz w:val="2"/>
          <w:szCs w:val="2"/>
          <w:rtl/>
        </w:rPr>
        <w:t xml:space="preserve"> </w:t>
      </w:r>
      <w:r w:rsidR="009615E6">
        <w:rPr>
          <w:rFonts w:ascii="QCF2062" w:eastAsiaTheme="minorHAnsi" w:hAnsi="QCF2062" w:cs="QCF2062"/>
          <w:color w:val="000000"/>
          <w:kern w:val="0"/>
          <w:sz w:val="26"/>
          <w:szCs w:val="26"/>
          <w:rtl/>
        </w:rPr>
        <w:t>ﱄ</w:t>
      </w:r>
      <w:r w:rsidR="009615E6">
        <w:rPr>
          <w:rFonts w:ascii="QCF2062" w:eastAsiaTheme="minorHAnsi" w:hAnsi="QCF2062" w:cs="QCF2062"/>
          <w:color w:val="000000"/>
          <w:kern w:val="0"/>
          <w:sz w:val="2"/>
          <w:szCs w:val="2"/>
          <w:rtl/>
        </w:rPr>
        <w:t xml:space="preserve"> </w:t>
      </w:r>
      <w:r w:rsidR="009615E6">
        <w:rPr>
          <w:rFonts w:ascii="QCF2062" w:eastAsiaTheme="minorHAnsi" w:hAnsi="QCF2062" w:cs="QCF2062"/>
          <w:color w:val="000000"/>
          <w:kern w:val="0"/>
          <w:sz w:val="26"/>
          <w:szCs w:val="26"/>
          <w:rtl/>
        </w:rPr>
        <w:t>ﱅ</w:t>
      </w:r>
      <w:r w:rsidR="009615E6">
        <w:rPr>
          <w:rFonts w:ascii="QCF2062" w:eastAsiaTheme="minorHAnsi" w:hAnsi="QCF2062" w:cs="QCF2062"/>
          <w:color w:val="000000"/>
          <w:kern w:val="0"/>
          <w:sz w:val="2"/>
          <w:szCs w:val="2"/>
          <w:rtl/>
        </w:rPr>
        <w:t xml:space="preserve"> </w:t>
      </w:r>
      <w:r w:rsidR="009615E6">
        <w:rPr>
          <w:rFonts w:ascii="QCF2062" w:eastAsiaTheme="minorHAnsi" w:hAnsi="QCF2062" w:cs="QCF2062"/>
          <w:color w:val="000000"/>
          <w:kern w:val="0"/>
          <w:sz w:val="26"/>
          <w:szCs w:val="26"/>
          <w:rtl/>
        </w:rPr>
        <w:t>ﱆ</w:t>
      </w:r>
      <w:r w:rsidR="009615E6">
        <w:rPr>
          <w:rFonts w:ascii="QCF2062" w:eastAsiaTheme="minorHAnsi" w:hAnsi="QCF2062" w:cs="QCF2062"/>
          <w:color w:val="000000"/>
          <w:kern w:val="0"/>
          <w:sz w:val="2"/>
          <w:szCs w:val="2"/>
          <w:rtl/>
        </w:rPr>
        <w:t xml:space="preserve"> </w:t>
      </w:r>
      <w:r w:rsidR="009615E6">
        <w:rPr>
          <w:rFonts w:ascii="QCF2062" w:eastAsiaTheme="minorHAnsi" w:hAnsi="QCF2062" w:cs="QCF2062"/>
          <w:color w:val="000000"/>
          <w:kern w:val="0"/>
          <w:sz w:val="26"/>
          <w:szCs w:val="26"/>
          <w:rtl/>
        </w:rPr>
        <w:t>ﱇﱈ</w:t>
      </w:r>
      <w:r w:rsidR="009615E6">
        <w:rPr>
          <w:rFonts w:ascii="QCF2062" w:eastAsiaTheme="minorHAnsi" w:hAnsi="QCF2062" w:cs="QCF2062"/>
          <w:color w:val="000000"/>
          <w:kern w:val="0"/>
          <w:sz w:val="2"/>
          <w:szCs w:val="2"/>
          <w:rtl/>
        </w:rPr>
        <w:t xml:space="preserve"> </w:t>
      </w:r>
      <w:r w:rsidR="009615E6">
        <w:rPr>
          <w:rFonts w:ascii="QCF2BSML" w:eastAsiaTheme="minorHAnsi" w:hAnsi="QCF2BSML" w:cs="QCF2BSML"/>
          <w:color w:val="000000"/>
          <w:kern w:val="0"/>
          <w:sz w:val="26"/>
          <w:szCs w:val="26"/>
          <w:rtl/>
        </w:rPr>
        <w:t>ﱴ</w:t>
      </w:r>
      <w:r w:rsidR="009615E6">
        <w:rPr>
          <w:rFonts w:eastAsiaTheme="minorHAnsi" w:hint="cs"/>
          <w:kern w:val="0"/>
          <w:rtl/>
        </w:rPr>
        <w:t xml:space="preserve"> [الآية رقم: 92 سورة آل عمران]، حيث يدخل في عموم هذه الأدلة: الوقف على الغير من الأهل والأصدقاء، والوقف على جهات البر والنفع العام والوقف على النفس وحيث لا يوجد في هذه الأدلة مُخصص يخرج الوقف على النفس من عمومها.</w:t>
      </w:r>
    </w:p>
    <w:p w14:paraId="74C65385" w14:textId="0EFCAEF6" w:rsidR="009615E6" w:rsidRDefault="009615E6" w:rsidP="009B120B">
      <w:pPr>
        <w:rPr>
          <w:rFonts w:eastAsiaTheme="minorHAnsi"/>
          <w:kern w:val="0"/>
          <w:rtl/>
        </w:rPr>
      </w:pPr>
      <w:r w:rsidRPr="009615E6">
        <w:rPr>
          <w:rStyle w:val="Heading3Char"/>
          <w:rFonts w:hint="cs"/>
          <w:rtl/>
        </w:rPr>
        <w:lastRenderedPageBreak/>
        <w:t xml:space="preserve">الدليل الثاني: </w:t>
      </w:r>
      <w:r>
        <w:rPr>
          <w:rFonts w:eastAsiaTheme="minorHAnsi" w:hint="cs"/>
          <w:kern w:val="0"/>
          <w:rtl/>
        </w:rPr>
        <w:t xml:space="preserve"> ما رواه الإمام</w:t>
      </w:r>
      <w:r w:rsidR="00532039">
        <w:rPr>
          <w:rFonts w:eastAsiaTheme="minorHAnsi" w:hint="cs"/>
          <w:kern w:val="0"/>
          <w:rtl/>
        </w:rPr>
        <w:t xml:space="preserve"> مسلم في باب الابتداء في النفقة بالنفس ثم الأهل ثم القرابة من كتاب الزكاة في الحديث رقم 997 عن جابر قال: أعتق رجل من بني عُذْرة عبدًا له عن دُبُر، فبلغ ذلك رسول الله </w:t>
      </w:r>
      <w:r w:rsidR="00532039">
        <w:rPr>
          <w:rFonts w:eastAsiaTheme="minorHAnsi"/>
          <w:kern w:val="0"/>
        </w:rPr>
        <w:sym w:font="AGA Arabesque" w:char="F072"/>
      </w:r>
      <w:r w:rsidR="00532039">
        <w:rPr>
          <w:rFonts w:eastAsiaTheme="minorHAnsi" w:hint="cs"/>
          <w:kern w:val="0"/>
          <w:rtl/>
        </w:rPr>
        <w:t xml:space="preserve"> فقال: ألك مال غيره؟ فقال: لا، فقال: من يشتريه مني؟ فاشتراه </w:t>
      </w:r>
      <w:r w:rsidR="0036778F">
        <w:rPr>
          <w:rFonts w:eastAsiaTheme="minorHAnsi" w:hint="cs"/>
          <w:kern w:val="0"/>
          <w:rtl/>
        </w:rPr>
        <w:t>لُعَيْم بن عبد الله العدوي بثمانمائة درهم، فجاء بها رسول الله، فدفعها إليه ثم قال: أبدأ بنفسك، فتصدّق عليها، فإن فضل شيء فلأهلك، فأن فضل عن أهلك شيء فلذي قرابتك، فإن فضل عن ذي قرابتك شيء فهكذا وهكذا</w:t>
      </w:r>
      <w:r w:rsidR="0036778F" w:rsidRPr="0046333C">
        <w:rPr>
          <w:rFonts w:hint="cs"/>
          <w:vertAlign w:val="superscript"/>
          <w:rtl/>
          <w:lang w:bidi="ar-EG"/>
        </w:rPr>
        <w:t>(</w:t>
      </w:r>
      <w:r w:rsidR="0036778F" w:rsidRPr="0046333C">
        <w:rPr>
          <w:vertAlign w:val="superscript"/>
          <w:rtl/>
        </w:rPr>
        <w:footnoteReference w:id="56"/>
      </w:r>
      <w:r w:rsidR="0036778F" w:rsidRPr="0046333C">
        <w:rPr>
          <w:rFonts w:hint="cs"/>
          <w:vertAlign w:val="superscript"/>
          <w:rtl/>
          <w:lang w:bidi="ar-EG"/>
        </w:rPr>
        <w:t>)</w:t>
      </w:r>
      <w:r w:rsidR="0036778F">
        <w:rPr>
          <w:rFonts w:eastAsiaTheme="minorHAnsi" w:hint="cs"/>
          <w:kern w:val="0"/>
          <w:rtl/>
        </w:rPr>
        <w:t>.</w:t>
      </w:r>
    </w:p>
    <w:p w14:paraId="5D7DB1BF" w14:textId="21AF8C04" w:rsidR="0036778F" w:rsidRPr="00532039" w:rsidRDefault="0036778F" w:rsidP="0036778F">
      <w:pPr>
        <w:pStyle w:val="Heading4"/>
        <w:rPr>
          <w:rFonts w:ascii="adwa-assalaf" w:hAnsi="adwa-assalaf" w:cs="adwa-assalaf"/>
          <w:sz w:val="28"/>
          <w:szCs w:val="28"/>
          <w:rtl/>
          <w:lang w:bidi="ar-EG"/>
        </w:rPr>
      </w:pPr>
      <w:r>
        <w:rPr>
          <w:rFonts w:hint="cs"/>
          <w:rtl/>
        </w:rPr>
        <w:t>وجه الدلالة من الحديث:</w:t>
      </w:r>
    </w:p>
    <w:p w14:paraId="4F8A117E" w14:textId="0537C327" w:rsidR="009B120B" w:rsidRPr="005D1CB4" w:rsidRDefault="005D1CB4">
      <w:pPr>
        <w:pStyle w:val="ListParagraph"/>
        <w:numPr>
          <w:ilvl w:val="0"/>
          <w:numId w:val="20"/>
        </w:numPr>
        <w:ind w:left="567" w:hanging="567"/>
        <w:rPr>
          <w:sz w:val="32"/>
          <w:szCs w:val="32"/>
          <w:lang w:bidi="ar-EG"/>
        </w:rPr>
      </w:pPr>
      <w:r w:rsidRPr="005D1CB4">
        <w:rPr>
          <w:rFonts w:hint="cs"/>
          <w:rtl/>
          <w:lang w:bidi="ar-EG"/>
        </w:rPr>
        <w:t>أن الوقف صدقة جارية، وقد أمر الرسول في الحديث بأن يبدأ فيها المتصدق بنفسه أولًا، فدل ذلك على أن للواقف الحق في أن يخص نفسه بمنافع وقفه.</w:t>
      </w:r>
    </w:p>
    <w:p w14:paraId="71A7EC98" w14:textId="0A9F3497" w:rsidR="005D1CB4" w:rsidRPr="005D1CB4" w:rsidRDefault="005D1CB4">
      <w:pPr>
        <w:pStyle w:val="ListParagraph"/>
        <w:numPr>
          <w:ilvl w:val="0"/>
          <w:numId w:val="20"/>
        </w:numPr>
        <w:ind w:left="567" w:hanging="567"/>
        <w:rPr>
          <w:sz w:val="32"/>
          <w:szCs w:val="32"/>
          <w:lang w:bidi="ar-EG"/>
        </w:rPr>
      </w:pPr>
      <w:r w:rsidRPr="005D1CB4">
        <w:rPr>
          <w:rFonts w:hint="cs"/>
          <w:rtl/>
          <w:lang w:bidi="ar-EG"/>
        </w:rPr>
        <w:t>في شرحه لهذا الحديث يقول الإمام</w:t>
      </w:r>
      <w:r>
        <w:rPr>
          <w:rFonts w:hint="cs"/>
          <w:rtl/>
          <w:lang w:bidi="ar-EG"/>
        </w:rPr>
        <w:t xml:space="preserve"> أبو زكريا يحيى بن شرف النووي: في الحديث فوائد منها: الابتداء في النفقة بالمذكور على هذا الترتيب، ومنها: أن الحقوق والفضائل إذا تزاحمت قدم الأوكر فالأوكر، ومنها: أن الأفضل في صدقة التطوع أن ينوّعها في جهات الخير ووجه البر بحسب المصلحة.</w:t>
      </w:r>
    </w:p>
    <w:p w14:paraId="3176CE56" w14:textId="36CED452" w:rsidR="005D1CB4" w:rsidRPr="005D1CB4" w:rsidRDefault="005D1CB4">
      <w:pPr>
        <w:pStyle w:val="ListParagraph"/>
        <w:numPr>
          <w:ilvl w:val="0"/>
          <w:numId w:val="20"/>
        </w:numPr>
        <w:ind w:left="567" w:hanging="567"/>
        <w:rPr>
          <w:sz w:val="32"/>
          <w:szCs w:val="32"/>
          <w:lang w:bidi="ar-EG"/>
        </w:rPr>
      </w:pPr>
      <w:r>
        <w:rPr>
          <w:rFonts w:hint="cs"/>
          <w:rtl/>
          <w:lang w:bidi="ar-EG"/>
        </w:rPr>
        <w:t>في الحديث دلالة على أن الوقف على النفس أوكر وأفضل من الوقف على الأهل والقرابة عند تزاحم الحاجة إلى منافع العين الموقوفة.</w:t>
      </w:r>
    </w:p>
    <w:p w14:paraId="1505214D" w14:textId="1E1E70D2" w:rsidR="005D1CB4" w:rsidRDefault="005D1CB4" w:rsidP="005D1CB4">
      <w:pPr>
        <w:rPr>
          <w:rtl/>
          <w:lang w:bidi="ar-EG"/>
        </w:rPr>
      </w:pPr>
      <w:r w:rsidRPr="005D1CB4">
        <w:rPr>
          <w:rStyle w:val="Heading3Char"/>
          <w:rFonts w:hint="cs"/>
          <w:rtl/>
        </w:rPr>
        <w:t>الدليل الثالث:</w:t>
      </w:r>
      <w:r>
        <w:rPr>
          <w:rFonts w:hint="cs"/>
          <w:rtl/>
          <w:lang w:bidi="ar-EG"/>
        </w:rPr>
        <w:t xml:space="preserve"> ما رواه أبو داوود في باب صلة الرحم من كتاب الزكاة في الحديث رقم 1691 من سننه عن أبي هريرة رضي الله عنه قال: أمر النبي </w:t>
      </w:r>
      <w:r>
        <w:rPr>
          <w:lang w:bidi="ar-EG"/>
        </w:rPr>
        <w:sym w:font="AGA Arabesque" w:char="F072"/>
      </w:r>
      <w:r>
        <w:rPr>
          <w:rFonts w:hint="cs"/>
          <w:rtl/>
          <w:lang w:bidi="ar-EG"/>
        </w:rPr>
        <w:t xml:space="preserve"> بالصدقة، فقال رجل: يا رسول الله عندي دينار، فقال: تصدق به على نفسك، قال عندي آخر، قال: تصدق به على ولدك، قال: عندي آخر: قال: تصدق به على زوجتك، قال: عندي آخر، قال: أنت أبصر</w:t>
      </w:r>
      <w:r w:rsidRPr="0046333C">
        <w:rPr>
          <w:rFonts w:hint="cs"/>
          <w:vertAlign w:val="superscript"/>
          <w:rtl/>
          <w:lang w:bidi="ar-EG"/>
        </w:rPr>
        <w:t>(</w:t>
      </w:r>
      <w:r w:rsidRPr="0046333C">
        <w:rPr>
          <w:vertAlign w:val="superscript"/>
          <w:rtl/>
        </w:rPr>
        <w:footnoteReference w:id="57"/>
      </w:r>
      <w:r w:rsidRPr="0046333C">
        <w:rPr>
          <w:rFonts w:hint="cs"/>
          <w:vertAlign w:val="superscript"/>
          <w:rtl/>
          <w:lang w:bidi="ar-EG"/>
        </w:rPr>
        <w:t>)</w:t>
      </w:r>
      <w:r>
        <w:rPr>
          <w:rFonts w:hint="cs"/>
          <w:rtl/>
          <w:lang w:bidi="ar-EG"/>
        </w:rPr>
        <w:t>.</w:t>
      </w:r>
    </w:p>
    <w:p w14:paraId="5E885E04" w14:textId="761B5719" w:rsidR="0048510D" w:rsidRDefault="0048510D" w:rsidP="005D1CB4">
      <w:pPr>
        <w:rPr>
          <w:rtl/>
          <w:lang w:bidi="ar-EG"/>
        </w:rPr>
      </w:pPr>
      <w:r>
        <w:rPr>
          <w:rFonts w:hint="cs"/>
          <w:rtl/>
          <w:lang w:bidi="ar-EG"/>
        </w:rPr>
        <w:lastRenderedPageBreak/>
        <w:t>وجه الدلالة من الحديث: ذات الوجه في الحديث السابق عليه.</w:t>
      </w:r>
    </w:p>
    <w:p w14:paraId="411F69EC" w14:textId="21B98745" w:rsidR="0048510D" w:rsidRDefault="0048510D" w:rsidP="005D1CB4">
      <w:pPr>
        <w:rPr>
          <w:rtl/>
          <w:lang w:bidi="ar-EG"/>
        </w:rPr>
      </w:pPr>
      <w:r w:rsidRPr="0048510D">
        <w:rPr>
          <w:rStyle w:val="Heading3Char"/>
          <w:rFonts w:hint="cs"/>
          <w:rtl/>
        </w:rPr>
        <w:t>الدليل الرابع:</w:t>
      </w:r>
      <w:r>
        <w:rPr>
          <w:rFonts w:hint="cs"/>
          <w:rtl/>
          <w:lang w:bidi="ar-EG"/>
        </w:rPr>
        <w:t xml:space="preserve"> ما رواه الإمام البخاري في الحديث رقم 1689، ورقم 1690 من كتاب الحج في باب ركوب البُدْن من صحيحه عن أبي هريرة وعن أنس رضي الله عنهما أن رسول الله </w:t>
      </w:r>
      <w:r>
        <w:rPr>
          <w:lang w:bidi="ar-EG"/>
        </w:rPr>
        <w:sym w:font="AGA Arabesque" w:char="F072"/>
      </w:r>
      <w:r>
        <w:rPr>
          <w:rFonts w:hint="cs"/>
          <w:rtl/>
          <w:lang w:bidi="ar-EG"/>
        </w:rPr>
        <w:t xml:space="preserve"> رأى (أي في جهة الوداع) رجلًا يسوق بَدَنه</w:t>
      </w:r>
      <w:r w:rsidRPr="0046333C">
        <w:rPr>
          <w:rFonts w:hint="cs"/>
          <w:vertAlign w:val="superscript"/>
          <w:rtl/>
          <w:lang w:bidi="ar-EG"/>
        </w:rPr>
        <w:t>(</w:t>
      </w:r>
      <w:r w:rsidRPr="0046333C">
        <w:rPr>
          <w:vertAlign w:val="superscript"/>
          <w:rtl/>
        </w:rPr>
        <w:footnoteReference w:id="58"/>
      </w:r>
      <w:r w:rsidRPr="0046333C">
        <w:rPr>
          <w:rFonts w:hint="cs"/>
          <w:vertAlign w:val="superscript"/>
          <w:rtl/>
          <w:lang w:bidi="ar-EG"/>
        </w:rPr>
        <w:t>)</w:t>
      </w:r>
      <w:r>
        <w:rPr>
          <w:rFonts w:hint="cs"/>
          <w:rtl/>
          <w:lang w:bidi="ar-EG"/>
        </w:rPr>
        <w:t xml:space="preserve"> (مقلّدة: أي مربوط في عنقها نعلًا) فقال: اركبها</w:t>
      </w:r>
      <w:r w:rsidRPr="0046333C">
        <w:rPr>
          <w:rFonts w:hint="cs"/>
          <w:vertAlign w:val="superscript"/>
          <w:rtl/>
          <w:lang w:bidi="ar-EG"/>
        </w:rPr>
        <w:t>(</w:t>
      </w:r>
      <w:r w:rsidRPr="0046333C">
        <w:rPr>
          <w:vertAlign w:val="superscript"/>
          <w:rtl/>
        </w:rPr>
        <w:footnoteReference w:id="59"/>
      </w:r>
      <w:r w:rsidRPr="0046333C">
        <w:rPr>
          <w:rFonts w:hint="cs"/>
          <w:vertAlign w:val="superscript"/>
          <w:rtl/>
          <w:lang w:bidi="ar-EG"/>
        </w:rPr>
        <w:t>)</w:t>
      </w:r>
      <w:r w:rsidRPr="0048510D">
        <w:rPr>
          <w:rFonts w:hint="cs"/>
          <w:rtl/>
          <w:lang w:bidi="ar-EG"/>
        </w:rPr>
        <w:t>،</w:t>
      </w:r>
      <w:r>
        <w:rPr>
          <w:rFonts w:hint="cs"/>
          <w:rtl/>
          <w:lang w:bidi="ar-EG"/>
        </w:rPr>
        <w:t xml:space="preserve"> فقال: إنها بَدَنة، فقال: اركبها، قال: إنها بَدَنة؟ قال اركبها وَيْلك.</w:t>
      </w:r>
    </w:p>
    <w:p w14:paraId="77A39F33" w14:textId="7B981FC0" w:rsidR="00365CE9" w:rsidRDefault="00365CE9" w:rsidP="005D1CB4">
      <w:pPr>
        <w:rPr>
          <w:rtl/>
          <w:lang w:bidi="ar-EG"/>
        </w:rPr>
      </w:pPr>
      <w:r>
        <w:rPr>
          <w:rFonts w:hint="cs"/>
          <w:rtl/>
          <w:lang w:bidi="ar-EG"/>
        </w:rPr>
        <w:t>وجه الدلالة من الحديث:</w:t>
      </w:r>
    </w:p>
    <w:p w14:paraId="25EF75F9" w14:textId="1365854C" w:rsidR="00365CE9" w:rsidRDefault="00365CE9">
      <w:pPr>
        <w:pStyle w:val="ListParagraph"/>
        <w:numPr>
          <w:ilvl w:val="0"/>
          <w:numId w:val="21"/>
        </w:numPr>
        <w:ind w:left="567" w:hanging="567"/>
        <w:rPr>
          <w:lang w:bidi="ar-EG"/>
        </w:rPr>
      </w:pPr>
      <w:r>
        <w:rPr>
          <w:rFonts w:hint="cs"/>
          <w:rtl/>
          <w:lang w:bidi="ar-EG"/>
        </w:rPr>
        <w:t>إن إهداء البُدْن إلى البيت الحرام شريعة من شعائر الله بمنزلة الصدقة</w:t>
      </w:r>
      <w:r w:rsidR="00486291">
        <w:rPr>
          <w:rFonts w:hint="cs"/>
          <w:rtl/>
          <w:lang w:bidi="ar-EG"/>
        </w:rPr>
        <w:t>.</w:t>
      </w:r>
    </w:p>
    <w:p w14:paraId="6EEA481E" w14:textId="4D1422C2" w:rsidR="00486291" w:rsidRDefault="00486291">
      <w:pPr>
        <w:pStyle w:val="ListParagraph"/>
        <w:numPr>
          <w:ilvl w:val="0"/>
          <w:numId w:val="21"/>
        </w:numPr>
        <w:ind w:left="567" w:hanging="567"/>
        <w:rPr>
          <w:lang w:bidi="ar-EG"/>
        </w:rPr>
      </w:pPr>
      <w:r>
        <w:rPr>
          <w:rFonts w:hint="cs"/>
          <w:rtl/>
          <w:lang w:bidi="ar-EG"/>
        </w:rPr>
        <w:t>أن البدنة المقلّدة تُعد من لحظة سوقها وتقليدها وقفًا على البيت الحرام.</w:t>
      </w:r>
    </w:p>
    <w:p w14:paraId="7557FFA9" w14:textId="5E67B301" w:rsidR="00486291" w:rsidRDefault="00486291">
      <w:pPr>
        <w:pStyle w:val="ListParagraph"/>
        <w:numPr>
          <w:ilvl w:val="0"/>
          <w:numId w:val="21"/>
        </w:numPr>
        <w:ind w:left="567" w:hanging="567"/>
        <w:rPr>
          <w:lang w:bidi="ar-EG"/>
        </w:rPr>
      </w:pPr>
      <w:r>
        <w:rPr>
          <w:rFonts w:hint="cs"/>
          <w:rtl/>
          <w:lang w:bidi="ar-EG"/>
        </w:rPr>
        <w:t>أن الحديث بلفظه يدل على جواز انتفاع الواقف بوقفه.</w:t>
      </w:r>
    </w:p>
    <w:p w14:paraId="19BED7CA" w14:textId="47F05D95" w:rsidR="00486291" w:rsidRDefault="00486291">
      <w:pPr>
        <w:pStyle w:val="ListParagraph"/>
        <w:numPr>
          <w:ilvl w:val="0"/>
          <w:numId w:val="21"/>
        </w:numPr>
        <w:ind w:left="567" w:hanging="567"/>
        <w:rPr>
          <w:lang w:bidi="ar-EG"/>
        </w:rPr>
      </w:pPr>
      <w:r>
        <w:rPr>
          <w:rFonts w:hint="cs"/>
          <w:rtl/>
          <w:lang w:bidi="ar-EG"/>
        </w:rPr>
        <w:t>يقول ابن حجر في شرحه لهذا الحديث: استنبط منه المصنّف جواز انتفاع الواقف بوقفه، وهو موافق للجمهور في الأوقاف العامة (أي على جهات البر والنفع العام أو الأوقاف الخيرية) أما الخاصة فالوقف على النفس لا يصح عند الشافعية ومن وافقهم.</w:t>
      </w:r>
    </w:p>
    <w:p w14:paraId="009EF990" w14:textId="2CFDE151" w:rsidR="00486291" w:rsidRDefault="00486291" w:rsidP="00486291">
      <w:pPr>
        <w:rPr>
          <w:rtl/>
          <w:lang w:bidi="ar-EG"/>
        </w:rPr>
      </w:pPr>
      <w:r w:rsidRPr="00486291">
        <w:rPr>
          <w:rStyle w:val="Heading3Char"/>
          <w:rFonts w:hint="cs"/>
          <w:rtl/>
        </w:rPr>
        <w:t>الدليل الخامس:</w:t>
      </w:r>
      <w:r>
        <w:rPr>
          <w:rFonts w:hint="cs"/>
          <w:rtl/>
          <w:lang w:bidi="ar-EG"/>
        </w:rPr>
        <w:t xml:space="preserve"> وهو دليل عقلي يتلخص في: أن الوقف كما عرفه الكمال بن الهمام في فتح القدير رواية عن أبي يوسف ومحمد هو: حبس العين لا على ملك أحد غير الله تعالى، والتصدق بمنفعتها، أو صرف منفعتها على من أحب</w:t>
      </w:r>
      <w:r w:rsidRPr="0046333C">
        <w:rPr>
          <w:rFonts w:hint="cs"/>
          <w:vertAlign w:val="superscript"/>
          <w:rtl/>
          <w:lang w:bidi="ar-EG"/>
        </w:rPr>
        <w:t>(</w:t>
      </w:r>
      <w:r w:rsidRPr="0046333C">
        <w:rPr>
          <w:vertAlign w:val="superscript"/>
          <w:rtl/>
        </w:rPr>
        <w:footnoteReference w:id="60"/>
      </w:r>
      <w:r w:rsidRPr="0046333C">
        <w:rPr>
          <w:rFonts w:hint="cs"/>
          <w:vertAlign w:val="superscript"/>
          <w:rtl/>
          <w:lang w:bidi="ar-EG"/>
        </w:rPr>
        <w:t>)</w:t>
      </w:r>
      <w:r>
        <w:rPr>
          <w:rFonts w:hint="cs"/>
          <w:rtl/>
          <w:lang w:bidi="ar-EG"/>
        </w:rPr>
        <w:t>، والمعنى في هذا التعريف هو: أن ملك الواقف زال عن العين الموقوفة بالوقف وأصبحت في حكم ملك الله تعالى، وبناءً على ذلك:</w:t>
      </w:r>
    </w:p>
    <w:p w14:paraId="479C31DC" w14:textId="4E23E6D3" w:rsidR="00486291" w:rsidRDefault="00486291">
      <w:pPr>
        <w:pStyle w:val="ListParagraph"/>
        <w:numPr>
          <w:ilvl w:val="0"/>
          <w:numId w:val="22"/>
        </w:numPr>
        <w:ind w:left="567" w:hanging="567"/>
        <w:rPr>
          <w:lang w:bidi="ar-EG"/>
        </w:rPr>
      </w:pPr>
      <w:r>
        <w:rPr>
          <w:rFonts w:hint="cs"/>
          <w:rtl/>
          <w:lang w:bidi="ar-EG"/>
        </w:rPr>
        <w:lastRenderedPageBreak/>
        <w:t>فإننا لا نُسلِّم بأن الوقف على النفس كما يقول المانعون له، تمليك من النفس للنفس، فملك الواقف قد زال عن العين الموقوفة.</w:t>
      </w:r>
    </w:p>
    <w:p w14:paraId="0A1A75AE" w14:textId="607DBB9E" w:rsidR="00486291" w:rsidRDefault="00486291">
      <w:pPr>
        <w:pStyle w:val="ListParagraph"/>
        <w:numPr>
          <w:ilvl w:val="0"/>
          <w:numId w:val="22"/>
        </w:numPr>
        <w:ind w:left="567" w:hanging="567"/>
        <w:rPr>
          <w:lang w:bidi="ar-EG"/>
        </w:rPr>
      </w:pPr>
      <w:r>
        <w:rPr>
          <w:rFonts w:hint="cs"/>
          <w:rtl/>
          <w:lang w:bidi="ar-EG"/>
        </w:rPr>
        <w:t>كما أننا لا نسلّم بالقول بأن الوقف على النفس يترتب عليه منع الواقف نفسه من التصرف في ماله، لأن المال لم يعد ملكًا له بل صار في حكم ملك الله.</w:t>
      </w:r>
    </w:p>
    <w:p w14:paraId="7EBE6D3C" w14:textId="62898121" w:rsidR="00486291" w:rsidRDefault="00486291">
      <w:pPr>
        <w:pStyle w:val="ListParagraph"/>
        <w:numPr>
          <w:ilvl w:val="0"/>
          <w:numId w:val="22"/>
        </w:numPr>
        <w:ind w:left="567" w:hanging="567"/>
        <w:rPr>
          <w:lang w:bidi="ar-EG"/>
        </w:rPr>
      </w:pPr>
      <w:r>
        <w:rPr>
          <w:rFonts w:hint="cs"/>
          <w:rtl/>
          <w:lang w:bidi="ar-EG"/>
        </w:rPr>
        <w:t>أن الوقف على النفس قاصر فقط على اختصاص الواقف بمنافع العين التي هي في حكم ملك الله تعالى، وحقوق الله عز وجل مبينة على المسامحة.</w:t>
      </w:r>
    </w:p>
    <w:p w14:paraId="3A7C2AB3" w14:textId="6D5A11A9" w:rsidR="00486291" w:rsidRDefault="00486291" w:rsidP="00486291">
      <w:pPr>
        <w:rPr>
          <w:rtl/>
          <w:lang w:bidi="ar-EG"/>
        </w:rPr>
      </w:pPr>
      <w:r w:rsidRPr="00486291">
        <w:rPr>
          <w:rStyle w:val="Heading3Char"/>
          <w:rFonts w:hint="cs"/>
          <w:rtl/>
        </w:rPr>
        <w:t>الدليل السادس:</w:t>
      </w:r>
      <w:r>
        <w:rPr>
          <w:rFonts w:hint="cs"/>
          <w:rtl/>
          <w:lang w:bidi="ar-EG"/>
        </w:rPr>
        <w:t xml:space="preserve"> أن الوقف على النفس لا يخوّل للواقف سوى حق تملك المنفعة دون الرقبة وذلك باعتباره موقوفًا عليه مع زوال ملكه بالوقف عن العين الموقوفة بحيث لا يجوز له التصرف في رقبة العين، وقد قرر الفقهاء أن الموقوف عليهم يتملكون أعيان الأوقاف ملكية ناقصة أي ملكية منفعة دون الرقبة بحيث لا يجوز للموقوف عليه بيع العين أو هبتها أو توريثها لورثته</w:t>
      </w:r>
      <w:r w:rsidRPr="0046333C">
        <w:rPr>
          <w:rFonts w:hint="cs"/>
          <w:vertAlign w:val="superscript"/>
          <w:rtl/>
          <w:lang w:bidi="ar-EG"/>
        </w:rPr>
        <w:t>(</w:t>
      </w:r>
      <w:r w:rsidRPr="0046333C">
        <w:rPr>
          <w:vertAlign w:val="superscript"/>
          <w:rtl/>
        </w:rPr>
        <w:footnoteReference w:id="61"/>
      </w:r>
      <w:r w:rsidRPr="0046333C">
        <w:rPr>
          <w:rFonts w:hint="cs"/>
          <w:vertAlign w:val="superscript"/>
          <w:rtl/>
          <w:lang w:bidi="ar-EG"/>
        </w:rPr>
        <w:t>)</w:t>
      </w:r>
      <w:r>
        <w:rPr>
          <w:rFonts w:hint="cs"/>
          <w:rtl/>
          <w:lang w:bidi="ar-EG"/>
        </w:rPr>
        <w:t>.</w:t>
      </w:r>
    </w:p>
    <w:p w14:paraId="4C8346A8" w14:textId="0D45BA71" w:rsidR="00486291" w:rsidRPr="0048510D" w:rsidRDefault="00486291" w:rsidP="00486291">
      <w:pPr>
        <w:rPr>
          <w:rtl/>
          <w:lang w:bidi="ar-EG"/>
        </w:rPr>
      </w:pPr>
      <w:r w:rsidRPr="0088429D">
        <w:rPr>
          <w:rStyle w:val="Heading3Char"/>
          <w:rFonts w:hint="cs"/>
          <w:rtl/>
        </w:rPr>
        <w:t>الدليل السابع:</w:t>
      </w:r>
      <w:r>
        <w:rPr>
          <w:rFonts w:hint="cs"/>
          <w:rtl/>
          <w:lang w:bidi="ar-EG"/>
        </w:rPr>
        <w:t xml:space="preserve"> أ</w:t>
      </w:r>
      <w:r w:rsidR="0088429D">
        <w:rPr>
          <w:rFonts w:hint="cs"/>
          <w:rtl/>
          <w:lang w:bidi="ar-EG"/>
        </w:rPr>
        <w:t>ن</w:t>
      </w:r>
      <w:r>
        <w:rPr>
          <w:rFonts w:hint="cs"/>
          <w:rtl/>
          <w:lang w:bidi="ar-EG"/>
        </w:rPr>
        <w:t xml:space="preserve"> الوقف على النفس قد تقتضيه حاجة أو ضرورة كأن يكون مدمنًا للقمار أو لتعاطي المخدرات ويخشى العوز والفقر إن باع أمواله ولا يكون أمامه سوى وقف كل أو بعض أموال على نفسه وقد قرر الفقهاء جملة من القواعد الفقهية الكلية تمنحه الحق في وقف ماله على نفسه من أهمها:</w:t>
      </w:r>
    </w:p>
    <w:p w14:paraId="3A8A35EB" w14:textId="5577294B" w:rsidR="009B120B" w:rsidRDefault="0088429D">
      <w:pPr>
        <w:pStyle w:val="ListParagraph"/>
        <w:numPr>
          <w:ilvl w:val="0"/>
          <w:numId w:val="23"/>
        </w:numPr>
        <w:ind w:left="567" w:hanging="567"/>
        <w:rPr>
          <w:lang w:bidi="ar-EG"/>
        </w:rPr>
      </w:pPr>
      <w:r>
        <w:rPr>
          <w:rFonts w:hint="cs"/>
          <w:rtl/>
          <w:lang w:bidi="ar-EG"/>
        </w:rPr>
        <w:t>ما ذكره السرخسي في المبسوط من أن: حاجة الناس أصل في شرع العقود فتشرع على وجه ترتفع به الحاجة، ويكون موافقًا لأصول الشرع</w:t>
      </w:r>
      <w:r w:rsidRPr="0046333C">
        <w:rPr>
          <w:rFonts w:hint="cs"/>
          <w:vertAlign w:val="superscript"/>
          <w:rtl/>
          <w:lang w:bidi="ar-EG"/>
        </w:rPr>
        <w:t>(</w:t>
      </w:r>
      <w:r w:rsidRPr="0046333C">
        <w:rPr>
          <w:vertAlign w:val="superscript"/>
          <w:rtl/>
        </w:rPr>
        <w:footnoteReference w:id="62"/>
      </w:r>
      <w:r w:rsidRPr="0046333C">
        <w:rPr>
          <w:rFonts w:hint="cs"/>
          <w:vertAlign w:val="superscript"/>
          <w:rtl/>
          <w:lang w:bidi="ar-EG"/>
        </w:rPr>
        <w:t>)</w:t>
      </w:r>
      <w:r>
        <w:rPr>
          <w:rFonts w:hint="cs"/>
          <w:rtl/>
          <w:lang w:bidi="ar-EG"/>
        </w:rPr>
        <w:t>.</w:t>
      </w:r>
    </w:p>
    <w:p w14:paraId="2EADF875" w14:textId="6212F37F" w:rsidR="0088429D" w:rsidRDefault="0088429D">
      <w:pPr>
        <w:pStyle w:val="ListParagraph"/>
        <w:numPr>
          <w:ilvl w:val="0"/>
          <w:numId w:val="23"/>
        </w:numPr>
        <w:ind w:left="567" w:hanging="567"/>
        <w:rPr>
          <w:lang w:bidi="ar-EG"/>
        </w:rPr>
      </w:pPr>
      <w:r>
        <w:rPr>
          <w:rFonts w:hint="cs"/>
          <w:rtl/>
          <w:lang w:bidi="ar-EG"/>
        </w:rPr>
        <w:t>ما ذكره الزيلعي في تبيين الحقائق من أنه: كل ما اشتدت الحاجة إليه كانت التوسعة فيه أكثر</w:t>
      </w:r>
      <w:r w:rsidRPr="0046333C">
        <w:rPr>
          <w:rFonts w:hint="cs"/>
          <w:vertAlign w:val="superscript"/>
          <w:rtl/>
          <w:lang w:bidi="ar-EG"/>
        </w:rPr>
        <w:t>(</w:t>
      </w:r>
      <w:r w:rsidRPr="0046333C">
        <w:rPr>
          <w:vertAlign w:val="superscript"/>
          <w:rtl/>
        </w:rPr>
        <w:footnoteReference w:id="63"/>
      </w:r>
      <w:r w:rsidRPr="0046333C">
        <w:rPr>
          <w:rFonts w:hint="cs"/>
          <w:vertAlign w:val="superscript"/>
          <w:rtl/>
          <w:lang w:bidi="ar-EG"/>
        </w:rPr>
        <w:t>)</w:t>
      </w:r>
      <w:r>
        <w:rPr>
          <w:rFonts w:hint="cs"/>
          <w:rtl/>
          <w:lang w:bidi="ar-EG"/>
        </w:rPr>
        <w:t>.</w:t>
      </w:r>
    </w:p>
    <w:p w14:paraId="77682F7D" w14:textId="09634398" w:rsidR="0088429D" w:rsidRDefault="0088429D">
      <w:pPr>
        <w:pStyle w:val="ListParagraph"/>
        <w:numPr>
          <w:ilvl w:val="0"/>
          <w:numId w:val="23"/>
        </w:numPr>
        <w:ind w:left="567" w:hanging="567"/>
        <w:rPr>
          <w:lang w:bidi="ar-EG"/>
        </w:rPr>
      </w:pPr>
      <w:r>
        <w:rPr>
          <w:rFonts w:hint="cs"/>
          <w:rtl/>
          <w:lang w:bidi="ar-EG"/>
        </w:rPr>
        <w:lastRenderedPageBreak/>
        <w:t>ما ذكره أحمد بن يحيى الونشريسي في المعيار المُعرب من أن: كل ما دعت الحاجة إلهي في الشريعة مما فيه منفعة، ولم يعارضه محظور، فإنه جائز، وواجب، بحسب حاله، وهذا أصل بديع</w:t>
      </w:r>
      <w:r w:rsidRPr="0046333C">
        <w:rPr>
          <w:rFonts w:hint="cs"/>
          <w:vertAlign w:val="superscript"/>
          <w:rtl/>
          <w:lang w:bidi="ar-EG"/>
        </w:rPr>
        <w:t>(</w:t>
      </w:r>
      <w:r w:rsidRPr="0046333C">
        <w:rPr>
          <w:vertAlign w:val="superscript"/>
          <w:rtl/>
        </w:rPr>
        <w:footnoteReference w:id="64"/>
      </w:r>
      <w:r w:rsidRPr="0046333C">
        <w:rPr>
          <w:rFonts w:hint="cs"/>
          <w:vertAlign w:val="superscript"/>
          <w:rtl/>
          <w:lang w:bidi="ar-EG"/>
        </w:rPr>
        <w:t>)</w:t>
      </w:r>
      <w:r>
        <w:rPr>
          <w:rFonts w:hint="cs"/>
          <w:rtl/>
          <w:lang w:bidi="ar-EG"/>
        </w:rPr>
        <w:t>.</w:t>
      </w:r>
    </w:p>
    <w:p w14:paraId="290F487B" w14:textId="42E6DEAC" w:rsidR="00E43665" w:rsidRDefault="00E43665">
      <w:pPr>
        <w:pStyle w:val="ListParagraph"/>
        <w:numPr>
          <w:ilvl w:val="0"/>
          <w:numId w:val="23"/>
        </w:numPr>
        <w:ind w:left="567" w:hanging="567"/>
        <w:rPr>
          <w:lang w:bidi="ar-EG"/>
        </w:rPr>
      </w:pPr>
      <w:r>
        <w:rPr>
          <w:rFonts w:hint="cs"/>
          <w:rtl/>
          <w:lang w:bidi="ar-EG"/>
        </w:rPr>
        <w:t>ما ذكره الإمام الغزالي في الوسيط من أن: ما بُني على الحاجة والمصلحة يتبع فيه مراتب الحاجة</w:t>
      </w:r>
      <w:r w:rsidRPr="0046333C">
        <w:rPr>
          <w:rFonts w:hint="cs"/>
          <w:vertAlign w:val="superscript"/>
          <w:rtl/>
          <w:lang w:bidi="ar-EG"/>
        </w:rPr>
        <w:t>(</w:t>
      </w:r>
      <w:r w:rsidRPr="0046333C">
        <w:rPr>
          <w:vertAlign w:val="superscript"/>
          <w:rtl/>
        </w:rPr>
        <w:footnoteReference w:id="65"/>
      </w:r>
      <w:r w:rsidRPr="0046333C">
        <w:rPr>
          <w:rFonts w:hint="cs"/>
          <w:vertAlign w:val="superscript"/>
          <w:rtl/>
          <w:lang w:bidi="ar-EG"/>
        </w:rPr>
        <w:t>)</w:t>
      </w:r>
      <w:r>
        <w:rPr>
          <w:rFonts w:hint="cs"/>
          <w:rtl/>
          <w:lang w:bidi="ar-EG"/>
        </w:rPr>
        <w:t>.</w:t>
      </w:r>
    </w:p>
    <w:p w14:paraId="566BB4C4" w14:textId="0C4CC427" w:rsidR="00E43665" w:rsidRDefault="00E43665">
      <w:pPr>
        <w:pStyle w:val="ListParagraph"/>
        <w:numPr>
          <w:ilvl w:val="0"/>
          <w:numId w:val="23"/>
        </w:numPr>
        <w:ind w:left="567" w:hanging="567"/>
        <w:rPr>
          <w:lang w:bidi="ar-EG"/>
        </w:rPr>
      </w:pPr>
      <w:r>
        <w:rPr>
          <w:rFonts w:hint="cs"/>
          <w:rtl/>
          <w:lang w:bidi="ar-EG"/>
        </w:rPr>
        <w:t>ما ذكره أبو بكر بن العربي المعافري في القبس في شرح موطأ الإمام مالك من أن: كل ما دعت الضرورة إليه من المحظور، فإنه ساقط الاعتبار على حسب الحاجة وبقدر الضرورة</w:t>
      </w:r>
      <w:r w:rsidRPr="0046333C">
        <w:rPr>
          <w:rFonts w:hint="cs"/>
          <w:vertAlign w:val="superscript"/>
          <w:rtl/>
          <w:lang w:bidi="ar-EG"/>
        </w:rPr>
        <w:t>(</w:t>
      </w:r>
      <w:r w:rsidRPr="0046333C">
        <w:rPr>
          <w:vertAlign w:val="superscript"/>
          <w:rtl/>
        </w:rPr>
        <w:footnoteReference w:id="66"/>
      </w:r>
      <w:r w:rsidRPr="0046333C">
        <w:rPr>
          <w:rFonts w:hint="cs"/>
          <w:vertAlign w:val="superscript"/>
          <w:rtl/>
          <w:lang w:bidi="ar-EG"/>
        </w:rPr>
        <w:t>)</w:t>
      </w:r>
      <w:r>
        <w:rPr>
          <w:rFonts w:hint="cs"/>
          <w:rtl/>
          <w:lang w:bidi="ar-EG"/>
        </w:rPr>
        <w:t>.</w:t>
      </w:r>
    </w:p>
    <w:p w14:paraId="7FAAA8F6" w14:textId="00C86812" w:rsidR="00E43665" w:rsidRDefault="00E43665">
      <w:pPr>
        <w:pStyle w:val="ListParagraph"/>
        <w:numPr>
          <w:ilvl w:val="0"/>
          <w:numId w:val="23"/>
        </w:numPr>
        <w:ind w:left="567" w:hanging="567"/>
        <w:rPr>
          <w:lang w:bidi="ar-EG"/>
        </w:rPr>
      </w:pPr>
      <w:r>
        <w:rPr>
          <w:rFonts w:hint="cs"/>
          <w:rtl/>
          <w:lang w:bidi="ar-EG"/>
        </w:rPr>
        <w:t>ما ذكره شيخ الإسلام بن تيمية في مجموع الفتاوي ج28، ص386 من أنه: لا يحرم على الناس من المعاملات التي يحتاجون إليها إلا ما دل الكتاب والسنة على تحريمه.</w:t>
      </w:r>
    </w:p>
    <w:p w14:paraId="63B737F1" w14:textId="2E74B0C4" w:rsidR="00E43665" w:rsidRDefault="00E43665" w:rsidP="00E43665">
      <w:pPr>
        <w:rPr>
          <w:rFonts w:eastAsiaTheme="minorHAnsi"/>
          <w:kern w:val="0"/>
          <w:rtl/>
        </w:rPr>
      </w:pPr>
      <w:r>
        <w:rPr>
          <w:rFonts w:hint="cs"/>
          <w:rtl/>
          <w:lang w:bidi="ar-EG"/>
        </w:rPr>
        <w:t xml:space="preserve">الدليل الثامن: القول بالمنع المُطلق قد يوقع أصحاب الحاجة والاضطرار في حرج ومشقة بالغين، خاصة إذا لم يوجد أمامهم لصون أنفسهم ودينهم وعرضهم طريق سوى وقف كل أو بعض أموالهم على أنفسهم، والله سبحانه وتعالى يقول: </w:t>
      </w:r>
      <w:r w:rsidR="00267E33">
        <w:rPr>
          <w:rFonts w:ascii="QCF2BSML" w:eastAsiaTheme="minorHAnsi" w:hAnsi="QCF2BSML" w:cs="QCF2BSML"/>
          <w:color w:val="000000"/>
          <w:kern w:val="0"/>
          <w:sz w:val="26"/>
          <w:szCs w:val="26"/>
          <w:rtl/>
        </w:rPr>
        <w:t>ﱵﭐ</w:t>
      </w:r>
      <w:r w:rsidR="00267E33">
        <w:rPr>
          <w:rFonts w:ascii="QCF2341" w:eastAsiaTheme="minorHAnsi" w:hAnsi="QCF2341" w:cs="QCF2341"/>
          <w:color w:val="000000"/>
          <w:kern w:val="0"/>
          <w:sz w:val="2"/>
          <w:szCs w:val="2"/>
          <w:rtl/>
        </w:rPr>
        <w:t xml:space="preserve"> </w:t>
      </w:r>
      <w:r w:rsidR="00267E33">
        <w:rPr>
          <w:rFonts w:ascii="QCF2341" w:eastAsiaTheme="minorHAnsi" w:hAnsi="QCF2341" w:cs="QCF2341"/>
          <w:color w:val="000000"/>
          <w:kern w:val="0"/>
          <w:sz w:val="26"/>
          <w:szCs w:val="26"/>
          <w:rtl/>
        </w:rPr>
        <w:t>ﲛ</w:t>
      </w:r>
      <w:r w:rsidR="00267E33">
        <w:rPr>
          <w:rFonts w:ascii="QCF2341" w:eastAsiaTheme="minorHAnsi" w:hAnsi="QCF2341" w:cs="QCF2341"/>
          <w:color w:val="000000"/>
          <w:kern w:val="0"/>
          <w:sz w:val="2"/>
          <w:szCs w:val="2"/>
          <w:rtl/>
        </w:rPr>
        <w:t xml:space="preserve"> </w:t>
      </w:r>
      <w:r w:rsidR="00267E33">
        <w:rPr>
          <w:rFonts w:ascii="QCF2341" w:eastAsiaTheme="minorHAnsi" w:hAnsi="QCF2341" w:cs="QCF2341"/>
          <w:color w:val="000000"/>
          <w:kern w:val="0"/>
          <w:sz w:val="26"/>
          <w:szCs w:val="26"/>
          <w:rtl/>
        </w:rPr>
        <w:t>ﲜ</w:t>
      </w:r>
      <w:r w:rsidR="00267E33">
        <w:rPr>
          <w:rFonts w:ascii="QCF2341" w:eastAsiaTheme="minorHAnsi" w:hAnsi="QCF2341" w:cs="QCF2341"/>
          <w:color w:val="000000"/>
          <w:kern w:val="0"/>
          <w:sz w:val="2"/>
          <w:szCs w:val="2"/>
          <w:rtl/>
        </w:rPr>
        <w:t xml:space="preserve">  </w:t>
      </w:r>
      <w:r w:rsidR="00267E33">
        <w:rPr>
          <w:rFonts w:ascii="QCF2341" w:eastAsiaTheme="minorHAnsi" w:hAnsi="QCF2341" w:cs="QCF2341"/>
          <w:color w:val="000000"/>
          <w:kern w:val="0"/>
          <w:sz w:val="26"/>
          <w:szCs w:val="26"/>
          <w:rtl/>
        </w:rPr>
        <w:t>ﲝ</w:t>
      </w:r>
      <w:r w:rsidR="00267E33">
        <w:rPr>
          <w:rFonts w:ascii="QCF2341" w:eastAsiaTheme="minorHAnsi" w:hAnsi="QCF2341" w:cs="QCF2341"/>
          <w:color w:val="000000"/>
          <w:kern w:val="0"/>
          <w:sz w:val="2"/>
          <w:szCs w:val="2"/>
          <w:rtl/>
        </w:rPr>
        <w:t xml:space="preserve"> </w:t>
      </w:r>
      <w:r w:rsidR="00267E33">
        <w:rPr>
          <w:rFonts w:ascii="QCF2341" w:eastAsiaTheme="minorHAnsi" w:hAnsi="QCF2341" w:cs="QCF2341"/>
          <w:color w:val="000000"/>
          <w:kern w:val="0"/>
          <w:sz w:val="26"/>
          <w:szCs w:val="26"/>
          <w:rtl/>
        </w:rPr>
        <w:t>ﲞ</w:t>
      </w:r>
      <w:r w:rsidR="00267E33">
        <w:rPr>
          <w:rFonts w:ascii="QCF2341" w:eastAsiaTheme="minorHAnsi" w:hAnsi="QCF2341" w:cs="QCF2341"/>
          <w:color w:val="000000"/>
          <w:kern w:val="0"/>
          <w:sz w:val="2"/>
          <w:szCs w:val="2"/>
          <w:rtl/>
        </w:rPr>
        <w:t xml:space="preserve"> </w:t>
      </w:r>
      <w:r w:rsidR="00267E33">
        <w:rPr>
          <w:rFonts w:ascii="QCF2341" w:eastAsiaTheme="minorHAnsi" w:hAnsi="QCF2341" w:cs="QCF2341"/>
          <w:color w:val="000000"/>
          <w:kern w:val="0"/>
          <w:sz w:val="26"/>
          <w:szCs w:val="26"/>
          <w:rtl/>
        </w:rPr>
        <w:t>ﲟ</w:t>
      </w:r>
      <w:r w:rsidR="00267E33">
        <w:rPr>
          <w:rFonts w:ascii="QCF2341" w:eastAsiaTheme="minorHAnsi" w:hAnsi="QCF2341" w:cs="QCF2341"/>
          <w:color w:val="000000"/>
          <w:kern w:val="0"/>
          <w:sz w:val="2"/>
          <w:szCs w:val="2"/>
          <w:rtl/>
        </w:rPr>
        <w:t xml:space="preserve"> </w:t>
      </w:r>
      <w:r w:rsidR="00267E33">
        <w:rPr>
          <w:rFonts w:ascii="QCF2341" w:eastAsiaTheme="minorHAnsi" w:hAnsi="QCF2341" w:cs="QCF2341"/>
          <w:color w:val="000000"/>
          <w:kern w:val="0"/>
          <w:sz w:val="26"/>
          <w:szCs w:val="26"/>
          <w:rtl/>
        </w:rPr>
        <w:t>ﲠ</w:t>
      </w:r>
      <w:r w:rsidR="00267E33">
        <w:rPr>
          <w:rFonts w:ascii="QCF2341" w:eastAsiaTheme="minorHAnsi" w:hAnsi="QCF2341" w:cs="QCF2341"/>
          <w:color w:val="000000"/>
          <w:kern w:val="0"/>
          <w:sz w:val="2"/>
          <w:szCs w:val="2"/>
          <w:rtl/>
        </w:rPr>
        <w:t xml:space="preserve"> </w:t>
      </w:r>
      <w:r w:rsidR="00267E33">
        <w:rPr>
          <w:rFonts w:ascii="QCF2341" w:eastAsiaTheme="minorHAnsi" w:hAnsi="QCF2341" w:cs="QCF2341"/>
          <w:color w:val="000000"/>
          <w:kern w:val="0"/>
          <w:sz w:val="26"/>
          <w:szCs w:val="26"/>
          <w:rtl/>
        </w:rPr>
        <w:t>ﲡﲢ</w:t>
      </w:r>
      <w:r w:rsidR="00267E33">
        <w:rPr>
          <w:rFonts w:ascii="QCF2341" w:eastAsiaTheme="minorHAnsi" w:hAnsi="QCF2341" w:cs="QCF2341"/>
          <w:color w:val="000000"/>
          <w:kern w:val="0"/>
          <w:sz w:val="2"/>
          <w:szCs w:val="2"/>
          <w:rtl/>
        </w:rPr>
        <w:t xml:space="preserve"> </w:t>
      </w:r>
      <w:r w:rsidR="00267E33">
        <w:rPr>
          <w:rFonts w:ascii="QCF2BSML" w:eastAsiaTheme="minorHAnsi" w:hAnsi="QCF2BSML" w:cs="QCF2BSML"/>
          <w:color w:val="000000"/>
          <w:kern w:val="0"/>
          <w:sz w:val="26"/>
          <w:szCs w:val="26"/>
          <w:rtl/>
        </w:rPr>
        <w:t>ﱴ</w:t>
      </w:r>
      <w:r w:rsidR="00267E33">
        <w:rPr>
          <w:rFonts w:eastAsiaTheme="minorHAnsi" w:hint="cs"/>
          <w:kern w:val="0"/>
          <w:rtl/>
        </w:rPr>
        <w:t xml:space="preserve"> [الآية رقم: 78، سورة الحج] ويقول: </w:t>
      </w:r>
      <w:r w:rsidR="00267E33">
        <w:rPr>
          <w:rFonts w:ascii="QCF2BSML" w:eastAsiaTheme="minorHAnsi" w:hAnsi="QCF2BSML" w:cs="QCF2BSML"/>
          <w:color w:val="000000"/>
          <w:kern w:val="0"/>
          <w:sz w:val="26"/>
          <w:szCs w:val="26"/>
          <w:rtl/>
        </w:rPr>
        <w:t>ﱵﭐ</w:t>
      </w:r>
      <w:r w:rsidR="00267E33">
        <w:rPr>
          <w:rFonts w:ascii="QCF2028" w:eastAsiaTheme="minorHAnsi" w:hAnsi="QCF2028" w:cs="QCF2028"/>
          <w:color w:val="000000"/>
          <w:kern w:val="0"/>
          <w:sz w:val="2"/>
          <w:szCs w:val="2"/>
          <w:rtl/>
        </w:rPr>
        <w:t xml:space="preserve"> </w:t>
      </w:r>
      <w:r w:rsidR="00267E33">
        <w:rPr>
          <w:rFonts w:ascii="QCF2028" w:eastAsiaTheme="minorHAnsi" w:hAnsi="QCF2028" w:cs="QCF2028"/>
          <w:color w:val="000000"/>
          <w:kern w:val="0"/>
          <w:sz w:val="26"/>
          <w:szCs w:val="26"/>
          <w:rtl/>
        </w:rPr>
        <w:t>ﲥ</w:t>
      </w:r>
      <w:r w:rsidR="00267E33">
        <w:rPr>
          <w:rFonts w:ascii="QCF2028" w:eastAsiaTheme="minorHAnsi" w:hAnsi="QCF2028" w:cs="QCF2028"/>
          <w:color w:val="000000"/>
          <w:kern w:val="0"/>
          <w:sz w:val="2"/>
          <w:szCs w:val="2"/>
          <w:rtl/>
        </w:rPr>
        <w:t xml:space="preserve"> </w:t>
      </w:r>
      <w:r w:rsidR="00267E33">
        <w:rPr>
          <w:rFonts w:ascii="QCF2028" w:eastAsiaTheme="minorHAnsi" w:hAnsi="QCF2028" w:cs="QCF2028"/>
          <w:color w:val="000000"/>
          <w:kern w:val="0"/>
          <w:sz w:val="26"/>
          <w:szCs w:val="26"/>
          <w:rtl/>
        </w:rPr>
        <w:t>ﲦ</w:t>
      </w:r>
      <w:r w:rsidR="00267E33">
        <w:rPr>
          <w:rFonts w:ascii="QCF2028" w:eastAsiaTheme="minorHAnsi" w:hAnsi="QCF2028" w:cs="QCF2028"/>
          <w:color w:val="000000"/>
          <w:kern w:val="0"/>
          <w:sz w:val="2"/>
          <w:szCs w:val="2"/>
          <w:rtl/>
        </w:rPr>
        <w:t xml:space="preserve"> </w:t>
      </w:r>
      <w:r w:rsidR="00267E33">
        <w:rPr>
          <w:rFonts w:ascii="QCF2028" w:eastAsiaTheme="minorHAnsi" w:hAnsi="QCF2028" w:cs="QCF2028"/>
          <w:color w:val="000000"/>
          <w:kern w:val="0"/>
          <w:sz w:val="26"/>
          <w:szCs w:val="26"/>
          <w:rtl/>
        </w:rPr>
        <w:t>ﲧ</w:t>
      </w:r>
      <w:r w:rsidR="00267E33">
        <w:rPr>
          <w:rFonts w:ascii="QCF2028" w:eastAsiaTheme="minorHAnsi" w:hAnsi="QCF2028" w:cs="QCF2028"/>
          <w:color w:val="000000"/>
          <w:kern w:val="0"/>
          <w:sz w:val="2"/>
          <w:szCs w:val="2"/>
          <w:rtl/>
        </w:rPr>
        <w:t xml:space="preserve"> </w:t>
      </w:r>
      <w:r w:rsidR="00267E33">
        <w:rPr>
          <w:rFonts w:ascii="QCF2028" w:eastAsiaTheme="minorHAnsi" w:hAnsi="QCF2028" w:cs="QCF2028"/>
          <w:color w:val="000000"/>
          <w:kern w:val="0"/>
          <w:sz w:val="26"/>
          <w:szCs w:val="26"/>
          <w:rtl/>
        </w:rPr>
        <w:t>ﲨ</w:t>
      </w:r>
      <w:r w:rsidR="00267E33">
        <w:rPr>
          <w:rFonts w:ascii="QCF2028" w:eastAsiaTheme="minorHAnsi" w:hAnsi="QCF2028" w:cs="QCF2028"/>
          <w:color w:val="000000"/>
          <w:kern w:val="0"/>
          <w:sz w:val="2"/>
          <w:szCs w:val="2"/>
          <w:rtl/>
        </w:rPr>
        <w:t xml:space="preserve"> </w:t>
      </w:r>
      <w:r w:rsidR="00267E33">
        <w:rPr>
          <w:rFonts w:ascii="QCF2BSML" w:eastAsiaTheme="minorHAnsi" w:hAnsi="QCF2BSML" w:cs="QCF2BSML"/>
          <w:color w:val="000000"/>
          <w:kern w:val="0"/>
          <w:sz w:val="26"/>
          <w:szCs w:val="26"/>
          <w:rtl/>
        </w:rPr>
        <w:t>ﱴ</w:t>
      </w:r>
      <w:r w:rsidR="00267E33">
        <w:rPr>
          <w:rFonts w:eastAsiaTheme="minorHAnsi" w:hint="cs"/>
          <w:kern w:val="0"/>
          <w:rtl/>
        </w:rPr>
        <w:t xml:space="preserve"> [الآية رقم: 185، سورة البقرة] ويقول: </w:t>
      </w:r>
      <w:r w:rsidR="00267E33">
        <w:rPr>
          <w:rFonts w:ascii="QCF2BSML" w:eastAsiaTheme="minorHAnsi" w:hAnsi="QCF2BSML" w:cs="QCF2BSML"/>
          <w:color w:val="000000"/>
          <w:kern w:val="0"/>
          <w:sz w:val="26"/>
          <w:szCs w:val="26"/>
          <w:rtl/>
        </w:rPr>
        <w:t>ﱵﭐ</w:t>
      </w:r>
      <w:r w:rsidR="00267E33">
        <w:rPr>
          <w:rFonts w:ascii="QCF2083" w:eastAsiaTheme="minorHAnsi" w:hAnsi="QCF2083" w:cs="QCF2083"/>
          <w:color w:val="000000"/>
          <w:kern w:val="0"/>
          <w:sz w:val="2"/>
          <w:szCs w:val="2"/>
          <w:rtl/>
        </w:rPr>
        <w:t xml:space="preserve"> </w:t>
      </w:r>
      <w:r w:rsidR="00267E33">
        <w:rPr>
          <w:rFonts w:ascii="QCF2083" w:eastAsiaTheme="minorHAnsi" w:hAnsi="QCF2083" w:cs="QCF2083"/>
          <w:color w:val="000000"/>
          <w:kern w:val="0"/>
          <w:sz w:val="26"/>
          <w:szCs w:val="26"/>
          <w:rtl/>
        </w:rPr>
        <w:t>ﱏ</w:t>
      </w:r>
      <w:r w:rsidR="00267E33">
        <w:rPr>
          <w:rFonts w:ascii="QCF2083" w:eastAsiaTheme="minorHAnsi" w:hAnsi="QCF2083" w:cs="QCF2083"/>
          <w:color w:val="000000"/>
          <w:kern w:val="0"/>
          <w:sz w:val="2"/>
          <w:szCs w:val="2"/>
          <w:rtl/>
        </w:rPr>
        <w:t xml:space="preserve"> </w:t>
      </w:r>
      <w:r w:rsidR="00267E33">
        <w:rPr>
          <w:rFonts w:ascii="QCF2083" w:eastAsiaTheme="minorHAnsi" w:hAnsi="QCF2083" w:cs="QCF2083"/>
          <w:color w:val="000000"/>
          <w:kern w:val="0"/>
          <w:sz w:val="26"/>
          <w:szCs w:val="26"/>
          <w:rtl/>
        </w:rPr>
        <w:t>ﱐ</w:t>
      </w:r>
      <w:r w:rsidR="00267E33">
        <w:rPr>
          <w:rFonts w:ascii="QCF2083" w:eastAsiaTheme="minorHAnsi" w:hAnsi="QCF2083" w:cs="QCF2083"/>
          <w:color w:val="000000"/>
          <w:kern w:val="0"/>
          <w:sz w:val="2"/>
          <w:szCs w:val="2"/>
          <w:rtl/>
        </w:rPr>
        <w:t xml:space="preserve"> </w:t>
      </w:r>
      <w:r w:rsidR="00267E33">
        <w:rPr>
          <w:rFonts w:ascii="QCF2083" w:eastAsiaTheme="minorHAnsi" w:hAnsi="QCF2083" w:cs="QCF2083"/>
          <w:color w:val="000000"/>
          <w:kern w:val="0"/>
          <w:sz w:val="26"/>
          <w:szCs w:val="26"/>
          <w:rtl/>
        </w:rPr>
        <w:t>ﱑ</w:t>
      </w:r>
      <w:r w:rsidR="00267E33">
        <w:rPr>
          <w:rFonts w:ascii="QCF2083" w:eastAsiaTheme="minorHAnsi" w:hAnsi="QCF2083" w:cs="QCF2083"/>
          <w:color w:val="000000"/>
          <w:kern w:val="0"/>
          <w:sz w:val="2"/>
          <w:szCs w:val="2"/>
          <w:rtl/>
        </w:rPr>
        <w:t xml:space="preserve"> </w:t>
      </w:r>
      <w:r w:rsidR="00267E33">
        <w:rPr>
          <w:rFonts w:ascii="QCF2083" w:eastAsiaTheme="minorHAnsi" w:hAnsi="QCF2083" w:cs="QCF2083"/>
          <w:color w:val="000000"/>
          <w:kern w:val="0"/>
          <w:sz w:val="26"/>
          <w:szCs w:val="26"/>
          <w:rtl/>
        </w:rPr>
        <w:t>ﱒ</w:t>
      </w:r>
      <w:r w:rsidR="00267E33">
        <w:rPr>
          <w:rFonts w:ascii="QCF2083" w:eastAsiaTheme="minorHAnsi" w:hAnsi="QCF2083" w:cs="QCF2083"/>
          <w:color w:val="000000"/>
          <w:kern w:val="0"/>
          <w:sz w:val="2"/>
          <w:szCs w:val="2"/>
          <w:rtl/>
        </w:rPr>
        <w:t xml:space="preserve">  </w:t>
      </w:r>
      <w:r w:rsidR="00267E33">
        <w:rPr>
          <w:rFonts w:ascii="QCF2083" w:eastAsiaTheme="minorHAnsi" w:hAnsi="QCF2083" w:cs="QCF2083"/>
          <w:color w:val="000000"/>
          <w:kern w:val="0"/>
          <w:sz w:val="26"/>
          <w:szCs w:val="26"/>
          <w:rtl/>
        </w:rPr>
        <w:t>ﱓﱔ</w:t>
      </w:r>
      <w:r w:rsidR="00267E33">
        <w:rPr>
          <w:rFonts w:ascii="QCF2083" w:eastAsiaTheme="minorHAnsi" w:hAnsi="QCF2083" w:cs="QCF2083"/>
          <w:color w:val="000000"/>
          <w:kern w:val="0"/>
          <w:sz w:val="2"/>
          <w:szCs w:val="2"/>
          <w:rtl/>
        </w:rPr>
        <w:t xml:space="preserve"> </w:t>
      </w:r>
      <w:r w:rsidR="00267E33">
        <w:rPr>
          <w:rFonts w:ascii="QCF2BSML" w:eastAsiaTheme="minorHAnsi" w:hAnsi="QCF2BSML" w:cs="QCF2BSML"/>
          <w:color w:val="000000"/>
          <w:kern w:val="0"/>
          <w:sz w:val="26"/>
          <w:szCs w:val="26"/>
          <w:rtl/>
        </w:rPr>
        <w:t>ﱴ</w:t>
      </w:r>
      <w:r w:rsidR="00267E33">
        <w:rPr>
          <w:rFonts w:eastAsiaTheme="minorHAnsi" w:hint="cs"/>
          <w:kern w:val="0"/>
          <w:rtl/>
        </w:rPr>
        <w:t xml:space="preserve"> [الآية رقم: 28، سورة النساء]، ويقول</w:t>
      </w:r>
      <w:r w:rsidR="00C60FB4">
        <w:rPr>
          <w:rFonts w:eastAsiaTheme="minorHAnsi" w:hint="cs"/>
          <w:kern w:val="0"/>
          <w:rtl/>
        </w:rPr>
        <w:t xml:space="preserve">: </w:t>
      </w:r>
      <w:r w:rsidR="00C60FB4">
        <w:rPr>
          <w:rFonts w:ascii="QCF2BSML" w:eastAsiaTheme="minorHAnsi" w:hAnsi="QCF2BSML" w:cs="QCF2BSML"/>
          <w:color w:val="000000"/>
          <w:kern w:val="0"/>
          <w:sz w:val="26"/>
          <w:szCs w:val="26"/>
          <w:rtl/>
        </w:rPr>
        <w:t>ﱵﭐ</w:t>
      </w:r>
      <w:r w:rsidR="00C60FB4">
        <w:rPr>
          <w:rFonts w:ascii="QCF2170" w:eastAsiaTheme="minorHAnsi" w:hAnsi="QCF2170" w:cs="QCF2170"/>
          <w:color w:val="000000"/>
          <w:kern w:val="0"/>
          <w:sz w:val="2"/>
          <w:szCs w:val="2"/>
          <w:rtl/>
        </w:rPr>
        <w:t xml:space="preserve"> </w:t>
      </w:r>
      <w:r w:rsidR="00C60FB4">
        <w:rPr>
          <w:rFonts w:ascii="QCF2170" w:eastAsiaTheme="minorHAnsi" w:hAnsi="QCF2170" w:cs="QCF2170"/>
          <w:color w:val="000000"/>
          <w:kern w:val="0"/>
          <w:sz w:val="26"/>
          <w:szCs w:val="26"/>
          <w:rtl/>
        </w:rPr>
        <w:t>ﱻ</w:t>
      </w:r>
      <w:r w:rsidR="00C60FB4">
        <w:rPr>
          <w:rFonts w:ascii="QCF2170" w:eastAsiaTheme="minorHAnsi" w:hAnsi="QCF2170" w:cs="QCF2170"/>
          <w:color w:val="000000"/>
          <w:kern w:val="0"/>
          <w:sz w:val="2"/>
          <w:szCs w:val="2"/>
          <w:rtl/>
        </w:rPr>
        <w:t xml:space="preserve"> </w:t>
      </w:r>
      <w:r w:rsidR="00C60FB4">
        <w:rPr>
          <w:rFonts w:ascii="QCF2170" w:eastAsiaTheme="minorHAnsi" w:hAnsi="QCF2170" w:cs="QCF2170"/>
          <w:color w:val="000000"/>
          <w:kern w:val="0"/>
          <w:sz w:val="26"/>
          <w:szCs w:val="26"/>
          <w:rtl/>
        </w:rPr>
        <w:t>ﱼ</w:t>
      </w:r>
      <w:r w:rsidR="00C60FB4">
        <w:rPr>
          <w:rFonts w:ascii="QCF2170" w:eastAsiaTheme="minorHAnsi" w:hAnsi="QCF2170" w:cs="QCF2170"/>
          <w:color w:val="000000"/>
          <w:kern w:val="0"/>
          <w:sz w:val="2"/>
          <w:szCs w:val="2"/>
          <w:rtl/>
        </w:rPr>
        <w:t xml:space="preserve"> </w:t>
      </w:r>
      <w:r w:rsidR="00C60FB4">
        <w:rPr>
          <w:rFonts w:ascii="QCF2170" w:eastAsiaTheme="minorHAnsi" w:hAnsi="QCF2170" w:cs="QCF2170"/>
          <w:color w:val="000000"/>
          <w:kern w:val="0"/>
          <w:sz w:val="26"/>
          <w:szCs w:val="26"/>
          <w:rtl/>
        </w:rPr>
        <w:t>ﱽ</w:t>
      </w:r>
      <w:r w:rsidR="00C60FB4">
        <w:rPr>
          <w:rFonts w:ascii="QCF2170" w:eastAsiaTheme="minorHAnsi" w:hAnsi="QCF2170" w:cs="QCF2170"/>
          <w:color w:val="000000"/>
          <w:kern w:val="0"/>
          <w:sz w:val="2"/>
          <w:szCs w:val="2"/>
          <w:rtl/>
        </w:rPr>
        <w:t xml:space="preserve"> </w:t>
      </w:r>
      <w:r w:rsidR="00C60FB4">
        <w:rPr>
          <w:rFonts w:ascii="QCF2170" w:eastAsiaTheme="minorHAnsi" w:hAnsi="QCF2170" w:cs="QCF2170"/>
          <w:color w:val="000000"/>
          <w:kern w:val="0"/>
          <w:sz w:val="26"/>
          <w:szCs w:val="26"/>
          <w:rtl/>
        </w:rPr>
        <w:t>ﱾ</w:t>
      </w:r>
      <w:r w:rsidR="00C60FB4">
        <w:rPr>
          <w:rFonts w:ascii="QCF2170" w:eastAsiaTheme="minorHAnsi" w:hAnsi="QCF2170" w:cs="QCF2170"/>
          <w:color w:val="000000"/>
          <w:kern w:val="0"/>
          <w:sz w:val="2"/>
          <w:szCs w:val="2"/>
          <w:rtl/>
        </w:rPr>
        <w:t xml:space="preserve"> </w:t>
      </w:r>
      <w:r w:rsidR="00C60FB4">
        <w:rPr>
          <w:rFonts w:ascii="QCF2170" w:eastAsiaTheme="minorHAnsi" w:hAnsi="QCF2170" w:cs="QCF2170"/>
          <w:color w:val="000000"/>
          <w:kern w:val="0"/>
          <w:sz w:val="26"/>
          <w:szCs w:val="26"/>
          <w:rtl/>
        </w:rPr>
        <w:t>ﱿ</w:t>
      </w:r>
      <w:r w:rsidR="00C60FB4">
        <w:rPr>
          <w:rFonts w:ascii="QCF2170" w:eastAsiaTheme="minorHAnsi" w:hAnsi="QCF2170" w:cs="QCF2170"/>
          <w:color w:val="000000"/>
          <w:kern w:val="0"/>
          <w:sz w:val="2"/>
          <w:szCs w:val="2"/>
          <w:rtl/>
        </w:rPr>
        <w:t xml:space="preserve"> </w:t>
      </w:r>
      <w:r w:rsidR="00C60FB4">
        <w:rPr>
          <w:rFonts w:ascii="QCF2170" w:eastAsiaTheme="minorHAnsi" w:hAnsi="QCF2170" w:cs="QCF2170"/>
          <w:color w:val="000000"/>
          <w:kern w:val="0"/>
          <w:sz w:val="26"/>
          <w:szCs w:val="26"/>
          <w:rtl/>
        </w:rPr>
        <w:t>ﲀ</w:t>
      </w:r>
      <w:r w:rsidR="00C60FB4">
        <w:rPr>
          <w:rFonts w:ascii="QCF2170" w:eastAsiaTheme="minorHAnsi" w:hAnsi="QCF2170" w:cs="QCF2170"/>
          <w:color w:val="000000"/>
          <w:kern w:val="0"/>
          <w:sz w:val="2"/>
          <w:szCs w:val="2"/>
          <w:rtl/>
        </w:rPr>
        <w:t xml:space="preserve">  </w:t>
      </w:r>
      <w:r w:rsidR="00C60FB4">
        <w:rPr>
          <w:rFonts w:ascii="QCF2170" w:eastAsiaTheme="minorHAnsi" w:hAnsi="QCF2170" w:cs="QCF2170"/>
          <w:color w:val="000000"/>
          <w:kern w:val="0"/>
          <w:sz w:val="26"/>
          <w:szCs w:val="26"/>
          <w:rtl/>
        </w:rPr>
        <w:t>ﲁ</w:t>
      </w:r>
      <w:r w:rsidR="00C60FB4">
        <w:rPr>
          <w:rFonts w:ascii="QCF2BSML" w:eastAsiaTheme="minorHAnsi" w:hAnsi="QCF2BSML" w:cs="QCF2BSML"/>
          <w:color w:val="000000"/>
          <w:kern w:val="0"/>
          <w:sz w:val="26"/>
          <w:szCs w:val="26"/>
          <w:rtl/>
        </w:rPr>
        <w:t>ﱴ</w:t>
      </w:r>
      <w:r w:rsidR="00C60FB4">
        <w:rPr>
          <w:rFonts w:eastAsiaTheme="minorHAnsi" w:hint="cs"/>
          <w:kern w:val="0"/>
          <w:rtl/>
        </w:rPr>
        <w:t xml:space="preserve"> </w:t>
      </w:r>
      <w:r w:rsidR="00C60FB4">
        <w:rPr>
          <w:rFonts w:eastAsiaTheme="minorHAnsi" w:hint="cs"/>
          <w:kern w:val="0"/>
          <w:rtl/>
        </w:rPr>
        <w:lastRenderedPageBreak/>
        <w:t xml:space="preserve">[الآية رقم: 157، سورة الأعراف]، والرسول </w:t>
      </w:r>
      <w:r w:rsidR="00C60FB4">
        <w:rPr>
          <w:rFonts w:eastAsiaTheme="minorHAnsi" w:hint="cs"/>
          <w:kern w:val="0"/>
        </w:rPr>
        <w:sym w:font="AGA Arabesque" w:char="F072"/>
      </w:r>
      <w:r w:rsidR="00C60FB4">
        <w:rPr>
          <w:rFonts w:eastAsiaTheme="minorHAnsi" w:hint="cs"/>
          <w:kern w:val="0"/>
          <w:rtl/>
        </w:rPr>
        <w:t xml:space="preserve"> يقول: </w:t>
      </w:r>
      <w:r w:rsidR="00C60FB4">
        <w:rPr>
          <w:rFonts w:eastAsiaTheme="minorHAnsi"/>
          <w:kern w:val="0"/>
          <w:rtl/>
        </w:rPr>
        <w:t>«</w:t>
      </w:r>
      <w:r w:rsidR="00C60FB4">
        <w:rPr>
          <w:rFonts w:eastAsiaTheme="minorHAnsi" w:hint="cs"/>
          <w:kern w:val="0"/>
          <w:rtl/>
        </w:rPr>
        <w:t>بعثت بالحنيفية السمعة</w:t>
      </w:r>
      <w:r w:rsidR="00C60FB4">
        <w:rPr>
          <w:rFonts w:eastAsiaTheme="minorHAnsi"/>
          <w:kern w:val="0"/>
          <w:rtl/>
        </w:rPr>
        <w:t>»</w:t>
      </w:r>
      <w:r w:rsidR="00C60FB4">
        <w:rPr>
          <w:rFonts w:eastAsiaTheme="minorHAnsi" w:hint="cs"/>
          <w:kern w:val="0"/>
          <w:rtl/>
        </w:rPr>
        <w:t xml:space="preserve"> ووجه الدلالة من كل هذه النصوص وما سواها من النصوص المتناظرة: أن الله سبحانه وتعالى شاء لعباده اليسر في الأحكام، ورفع عنهم العَنَتَ والعناء والمشقة والضيق والحرَجَ، وفقهاء المسلمين يقولون:</w:t>
      </w:r>
    </w:p>
    <w:p w14:paraId="2E2CD3E0" w14:textId="66808AF7" w:rsidR="00C60FB4" w:rsidRDefault="00C60FB4">
      <w:pPr>
        <w:pStyle w:val="ListParagraph"/>
        <w:numPr>
          <w:ilvl w:val="0"/>
          <w:numId w:val="24"/>
        </w:numPr>
        <w:ind w:left="567" w:hanging="567"/>
        <w:rPr>
          <w:lang w:bidi="ar-EG"/>
        </w:rPr>
      </w:pPr>
      <w:r>
        <w:rPr>
          <w:rFonts w:hint="cs"/>
          <w:rtl/>
          <w:lang w:bidi="ar-EG"/>
        </w:rPr>
        <w:t>إذا ضاق الأمر اتّسَع</w:t>
      </w:r>
      <w:r w:rsidRPr="0046333C">
        <w:rPr>
          <w:rFonts w:hint="cs"/>
          <w:vertAlign w:val="superscript"/>
          <w:rtl/>
          <w:lang w:bidi="ar-EG"/>
        </w:rPr>
        <w:t>(</w:t>
      </w:r>
      <w:r w:rsidRPr="0046333C">
        <w:rPr>
          <w:vertAlign w:val="superscript"/>
          <w:rtl/>
        </w:rPr>
        <w:footnoteReference w:id="67"/>
      </w:r>
      <w:r w:rsidRPr="0046333C">
        <w:rPr>
          <w:rFonts w:hint="cs"/>
          <w:vertAlign w:val="superscript"/>
          <w:rtl/>
          <w:lang w:bidi="ar-EG"/>
        </w:rPr>
        <w:t>)</w:t>
      </w:r>
      <w:r>
        <w:rPr>
          <w:rFonts w:hint="cs"/>
          <w:rtl/>
          <w:lang w:bidi="ar-EG"/>
        </w:rPr>
        <w:t>، ويقولون:</w:t>
      </w:r>
    </w:p>
    <w:p w14:paraId="09362FC5" w14:textId="0AFC468A" w:rsidR="00C60FB4" w:rsidRDefault="00C60FB4">
      <w:pPr>
        <w:pStyle w:val="ListParagraph"/>
        <w:numPr>
          <w:ilvl w:val="0"/>
          <w:numId w:val="24"/>
        </w:numPr>
        <w:ind w:left="567" w:hanging="567"/>
        <w:rPr>
          <w:lang w:bidi="ar-EG"/>
        </w:rPr>
      </w:pPr>
      <w:r>
        <w:rPr>
          <w:rFonts w:hint="cs"/>
          <w:rtl/>
          <w:lang w:bidi="ar-EG"/>
        </w:rPr>
        <w:t>كل شيء يؤدي إلى الحرج فهو مدفوع شرعًا، والحرج مرفوع</w:t>
      </w:r>
      <w:r w:rsidRPr="0046333C">
        <w:rPr>
          <w:rFonts w:hint="cs"/>
          <w:vertAlign w:val="superscript"/>
          <w:rtl/>
          <w:lang w:bidi="ar-EG"/>
        </w:rPr>
        <w:t>(</w:t>
      </w:r>
      <w:r w:rsidRPr="0046333C">
        <w:rPr>
          <w:vertAlign w:val="superscript"/>
          <w:rtl/>
        </w:rPr>
        <w:footnoteReference w:id="68"/>
      </w:r>
      <w:r w:rsidRPr="0046333C">
        <w:rPr>
          <w:rFonts w:hint="cs"/>
          <w:vertAlign w:val="superscript"/>
          <w:rtl/>
          <w:lang w:bidi="ar-EG"/>
        </w:rPr>
        <w:t>)</w:t>
      </w:r>
      <w:r>
        <w:rPr>
          <w:rFonts w:hint="cs"/>
          <w:rtl/>
          <w:lang w:bidi="ar-EG"/>
        </w:rPr>
        <w:t>، ويقولون:</w:t>
      </w:r>
    </w:p>
    <w:p w14:paraId="574971B2" w14:textId="496A5D70" w:rsidR="00C60FB4" w:rsidRDefault="00C60FB4">
      <w:pPr>
        <w:pStyle w:val="ListParagraph"/>
        <w:numPr>
          <w:ilvl w:val="0"/>
          <w:numId w:val="24"/>
        </w:numPr>
        <w:ind w:left="567" w:hanging="567"/>
        <w:rPr>
          <w:lang w:bidi="ar-EG"/>
        </w:rPr>
      </w:pPr>
      <w:r>
        <w:rPr>
          <w:rFonts w:hint="cs"/>
          <w:rtl/>
          <w:lang w:bidi="ar-EG"/>
        </w:rPr>
        <w:t>الضرورات تنقل المحظور إلى حال المباح</w:t>
      </w:r>
      <w:r w:rsidRPr="0046333C">
        <w:rPr>
          <w:rFonts w:hint="cs"/>
          <w:vertAlign w:val="superscript"/>
          <w:rtl/>
          <w:lang w:bidi="ar-EG"/>
        </w:rPr>
        <w:t>(</w:t>
      </w:r>
      <w:r w:rsidRPr="0046333C">
        <w:rPr>
          <w:vertAlign w:val="superscript"/>
          <w:rtl/>
        </w:rPr>
        <w:footnoteReference w:id="69"/>
      </w:r>
      <w:r w:rsidRPr="0046333C">
        <w:rPr>
          <w:rFonts w:hint="cs"/>
          <w:vertAlign w:val="superscript"/>
          <w:rtl/>
          <w:lang w:bidi="ar-EG"/>
        </w:rPr>
        <w:t>)</w:t>
      </w:r>
      <w:r>
        <w:rPr>
          <w:rFonts w:hint="cs"/>
          <w:rtl/>
          <w:lang w:bidi="ar-EG"/>
        </w:rPr>
        <w:t>، ويقولون:</w:t>
      </w:r>
    </w:p>
    <w:p w14:paraId="3D40D1ED" w14:textId="106A41CD" w:rsidR="00C60FB4" w:rsidRDefault="00C60FB4">
      <w:pPr>
        <w:pStyle w:val="ListParagraph"/>
        <w:numPr>
          <w:ilvl w:val="0"/>
          <w:numId w:val="24"/>
        </w:numPr>
        <w:ind w:left="567" w:hanging="567"/>
        <w:rPr>
          <w:lang w:bidi="ar-EG"/>
        </w:rPr>
      </w:pPr>
      <w:r>
        <w:rPr>
          <w:rFonts w:hint="cs"/>
          <w:rtl/>
          <w:lang w:bidi="ar-EG"/>
        </w:rPr>
        <w:t>كل ما دعت الضرورة إليه من المحظورات، فإنه ساقط الاعتبار على حسب الحاجة وبقدر الضرورة</w:t>
      </w:r>
      <w:r w:rsidRPr="0046333C">
        <w:rPr>
          <w:rFonts w:hint="cs"/>
          <w:vertAlign w:val="superscript"/>
          <w:rtl/>
          <w:lang w:bidi="ar-EG"/>
        </w:rPr>
        <w:t>(</w:t>
      </w:r>
      <w:r w:rsidRPr="0046333C">
        <w:rPr>
          <w:vertAlign w:val="superscript"/>
          <w:rtl/>
        </w:rPr>
        <w:footnoteReference w:id="70"/>
      </w:r>
      <w:r w:rsidRPr="0046333C">
        <w:rPr>
          <w:rFonts w:hint="cs"/>
          <w:vertAlign w:val="superscript"/>
          <w:rtl/>
          <w:lang w:bidi="ar-EG"/>
        </w:rPr>
        <w:t>)</w:t>
      </w:r>
      <w:r>
        <w:rPr>
          <w:rFonts w:hint="cs"/>
          <w:rtl/>
          <w:lang w:bidi="ar-EG"/>
        </w:rPr>
        <w:t>، ويقولون:</w:t>
      </w:r>
    </w:p>
    <w:p w14:paraId="354F2036" w14:textId="755D8E56" w:rsidR="00C60FB4" w:rsidRDefault="00C60FB4">
      <w:pPr>
        <w:pStyle w:val="ListParagraph"/>
        <w:numPr>
          <w:ilvl w:val="0"/>
          <w:numId w:val="24"/>
        </w:numPr>
        <w:ind w:left="567" w:hanging="567"/>
        <w:rPr>
          <w:lang w:bidi="ar-EG"/>
        </w:rPr>
      </w:pPr>
      <w:r>
        <w:rPr>
          <w:rFonts w:hint="cs"/>
          <w:rtl/>
          <w:lang w:bidi="ar-EG"/>
        </w:rPr>
        <w:t>كل ما احتاج الناس إليه في معاشهم، ولم يكن سببه معصية، لم يحرم عليهم</w:t>
      </w:r>
      <w:r w:rsidRPr="0046333C">
        <w:rPr>
          <w:rFonts w:hint="cs"/>
          <w:vertAlign w:val="superscript"/>
          <w:rtl/>
          <w:lang w:bidi="ar-EG"/>
        </w:rPr>
        <w:t>(</w:t>
      </w:r>
      <w:r w:rsidRPr="0046333C">
        <w:rPr>
          <w:vertAlign w:val="superscript"/>
          <w:rtl/>
        </w:rPr>
        <w:footnoteReference w:id="71"/>
      </w:r>
      <w:r w:rsidRPr="0046333C">
        <w:rPr>
          <w:rFonts w:hint="cs"/>
          <w:vertAlign w:val="superscript"/>
          <w:rtl/>
          <w:lang w:bidi="ar-EG"/>
        </w:rPr>
        <w:t>)</w:t>
      </w:r>
      <w:r>
        <w:rPr>
          <w:rFonts w:hint="cs"/>
          <w:rtl/>
          <w:lang w:bidi="ar-EG"/>
        </w:rPr>
        <w:t xml:space="preserve"> فهذه القواعد ونظائرها فوق أنها تدل على سماحة التشريع الإسلامي ومرونته تدل بلفظها ومعناها على ما يأتي:</w:t>
      </w:r>
    </w:p>
    <w:p w14:paraId="75178105" w14:textId="28A13950" w:rsidR="00C60FB4" w:rsidRDefault="00C60FB4">
      <w:pPr>
        <w:pStyle w:val="ListParagraph"/>
        <w:numPr>
          <w:ilvl w:val="0"/>
          <w:numId w:val="25"/>
        </w:numPr>
        <w:ind w:left="1134" w:hanging="567"/>
        <w:rPr>
          <w:lang w:bidi="ar-EG"/>
        </w:rPr>
      </w:pPr>
      <w:r>
        <w:rPr>
          <w:rFonts w:hint="cs"/>
          <w:rtl/>
          <w:lang w:bidi="ar-EG"/>
        </w:rPr>
        <w:t>حرص الفقهاء على تقديم المخارج للمكلفين في حالات الضيق والحرج.</w:t>
      </w:r>
    </w:p>
    <w:p w14:paraId="1442B585" w14:textId="4D55869E" w:rsidR="00C60FB4" w:rsidRDefault="00C60FB4">
      <w:pPr>
        <w:pStyle w:val="ListParagraph"/>
        <w:numPr>
          <w:ilvl w:val="0"/>
          <w:numId w:val="25"/>
        </w:numPr>
        <w:ind w:left="1134" w:hanging="567"/>
        <w:rPr>
          <w:lang w:bidi="ar-EG"/>
        </w:rPr>
      </w:pPr>
      <w:r>
        <w:rPr>
          <w:rFonts w:hint="cs"/>
          <w:rtl/>
          <w:lang w:bidi="ar-EG"/>
        </w:rPr>
        <w:t>انقلاب الحرام حلالًا في الحالات الاضطرارية الاستثنائية.</w:t>
      </w:r>
    </w:p>
    <w:p w14:paraId="39AFD460" w14:textId="00CBE825" w:rsidR="00C60FB4" w:rsidRDefault="00C60FB4">
      <w:pPr>
        <w:pStyle w:val="ListParagraph"/>
        <w:numPr>
          <w:ilvl w:val="0"/>
          <w:numId w:val="25"/>
        </w:numPr>
        <w:ind w:left="1134" w:hanging="567"/>
        <w:rPr>
          <w:lang w:bidi="ar-EG"/>
        </w:rPr>
      </w:pPr>
      <w:r>
        <w:rPr>
          <w:rFonts w:hint="cs"/>
          <w:rtl/>
          <w:lang w:bidi="ar-EG"/>
        </w:rPr>
        <w:lastRenderedPageBreak/>
        <w:t>إخراج الحكم من حالة الحظر إلى حالة الإباحة، ومن إطار الأحكام العامة إلى إطار المعفوّ عنه بمقتضى الحاجة أو الضرورة.</w:t>
      </w:r>
    </w:p>
    <w:p w14:paraId="24978632" w14:textId="36A11009" w:rsidR="00C60FB4" w:rsidRDefault="00C60FB4" w:rsidP="00C60FB4">
      <w:pPr>
        <w:rPr>
          <w:rtl/>
          <w:lang w:bidi="ar-EG"/>
        </w:rPr>
      </w:pPr>
      <w:r w:rsidRPr="00C60FB4">
        <w:rPr>
          <w:rStyle w:val="Heading3Char"/>
          <w:rFonts w:hint="cs"/>
          <w:rtl/>
        </w:rPr>
        <w:t>الدليل التاسع:</w:t>
      </w:r>
      <w:r>
        <w:rPr>
          <w:rFonts w:hint="cs"/>
          <w:rtl/>
          <w:lang w:bidi="ar-EG"/>
        </w:rPr>
        <w:t xml:space="preserve"> أن الوقف على النفس سبب مشروع للمحافظة على نفس الواقف ودينه وعرضه وصونه من الامتهان والابتذال في نهاية حياته،</w:t>
      </w:r>
      <w:r w:rsidR="00CD3B77">
        <w:rPr>
          <w:rFonts w:hint="cs"/>
          <w:rtl/>
          <w:lang w:bidi="ar-EG"/>
        </w:rPr>
        <w:t xml:space="preserve"> ولا يمكن اعتباره سببًا لإتلاف المال الموقوف أو لحرمان أحد من الميراث، فإن المال الموقوف إنما هو مرصود ومحبوس لمنافع الواقف، حال حياته، ثم تنتقل منافعه بعد موت الواقف إلى ورثته، إن لم يكن موقوفًا على جهة بر لا تنقطع، وعليه فإن الوقف على النفس سبب مشروع للمصالح لا للمفاسد، حتى وإن أدى مؤقتًا إلى إضرار ببعض المنتفعين منه، والأسباب إنما شرعت لتحصيل مسبباتها وهي المصالح المجتلبة</w:t>
      </w:r>
      <w:r w:rsidR="00CD3B77" w:rsidRPr="0046333C">
        <w:rPr>
          <w:rFonts w:hint="cs"/>
          <w:vertAlign w:val="superscript"/>
          <w:rtl/>
          <w:lang w:bidi="ar-EG"/>
        </w:rPr>
        <w:t>(</w:t>
      </w:r>
      <w:r w:rsidR="00CD3B77" w:rsidRPr="0046333C">
        <w:rPr>
          <w:vertAlign w:val="superscript"/>
          <w:rtl/>
        </w:rPr>
        <w:footnoteReference w:id="72"/>
      </w:r>
      <w:r w:rsidR="00CD3B77" w:rsidRPr="0046333C">
        <w:rPr>
          <w:rFonts w:hint="cs"/>
          <w:vertAlign w:val="superscript"/>
          <w:rtl/>
          <w:lang w:bidi="ar-EG"/>
        </w:rPr>
        <w:t>)</w:t>
      </w:r>
      <w:r w:rsidR="00CD3B77">
        <w:rPr>
          <w:rFonts w:hint="cs"/>
          <w:rtl/>
          <w:lang w:bidi="ar-EG"/>
        </w:rPr>
        <w:t xml:space="preserve">، وبهذا  </w:t>
      </w:r>
      <w:r w:rsidR="00DB5D5D">
        <w:rPr>
          <w:rFonts w:hint="cs"/>
          <w:rtl/>
          <w:lang w:bidi="ar-EG"/>
        </w:rPr>
        <w:t>تكون المصالح المترتبة على الوقف على النفس مصالح مشروعة باعتبارها مسببات لسب مشروع، وبناءً عليه: فإن حكم المنع الذي قال به مانعوا الوقف على النفس يتبدل إلى الإباحة والجواز تبعًا لتبدل سبب الوقف، وفي ذلك يقول القرطبي في المفهم</w:t>
      </w:r>
      <w:r w:rsidR="00DB5D5D" w:rsidRPr="0046333C">
        <w:rPr>
          <w:rFonts w:hint="cs"/>
          <w:vertAlign w:val="superscript"/>
          <w:rtl/>
          <w:lang w:bidi="ar-EG"/>
        </w:rPr>
        <w:t>(</w:t>
      </w:r>
      <w:r w:rsidR="00DB5D5D" w:rsidRPr="0046333C">
        <w:rPr>
          <w:vertAlign w:val="superscript"/>
          <w:rtl/>
        </w:rPr>
        <w:footnoteReference w:id="73"/>
      </w:r>
      <w:r w:rsidR="00DB5D5D" w:rsidRPr="0046333C">
        <w:rPr>
          <w:rFonts w:hint="cs"/>
          <w:vertAlign w:val="superscript"/>
          <w:rtl/>
          <w:lang w:bidi="ar-EG"/>
        </w:rPr>
        <w:t>)</w:t>
      </w:r>
      <w:r w:rsidR="00DB5D5D">
        <w:rPr>
          <w:rFonts w:hint="cs"/>
          <w:rtl/>
          <w:lang w:bidi="ar-EG"/>
        </w:rPr>
        <w:t>.</w:t>
      </w:r>
    </w:p>
    <w:p w14:paraId="19DAA95A" w14:textId="13B10702" w:rsidR="00DB5D5D" w:rsidRDefault="00DB5D5D" w:rsidP="00C60FB4">
      <w:pPr>
        <w:rPr>
          <w:rtl/>
          <w:lang w:bidi="ar-EG"/>
        </w:rPr>
      </w:pPr>
      <w:r w:rsidRPr="00DB5D5D">
        <w:rPr>
          <w:rStyle w:val="Heading3Char"/>
          <w:rFonts w:hint="cs"/>
          <w:rtl/>
        </w:rPr>
        <w:t>الدليل العاشر:</w:t>
      </w:r>
      <w:r>
        <w:rPr>
          <w:rFonts w:hint="cs"/>
          <w:rtl/>
          <w:lang w:bidi="ar-EG"/>
        </w:rPr>
        <w:t xml:space="preserve"> من الثابت أن الشارع الإسلامي الحكيم قصد بتشريع الوقف إقامة مصالح الواقف والموقوف عليهم والمجتمع الأخروية والدنيوية، وذلك على وجه الإطلاق وليس على وجه التخصيص، إذ ليست مصالح الموقوف عليهم بأوْلى من مصالح الواقف، والمعتبر من هذه المصالح هو أعظمها.</w:t>
      </w:r>
    </w:p>
    <w:p w14:paraId="41BCF01C" w14:textId="540FD1B4" w:rsidR="00DB5D5D" w:rsidRDefault="00DB5D5D" w:rsidP="00C60FB4">
      <w:pPr>
        <w:rPr>
          <w:rtl/>
          <w:lang w:bidi="ar-EG"/>
        </w:rPr>
      </w:pPr>
      <w:r>
        <w:rPr>
          <w:rFonts w:hint="cs"/>
          <w:rtl/>
          <w:lang w:bidi="ar-EG"/>
        </w:rPr>
        <w:t xml:space="preserve">ولما كانت أغراض كل من الواقف والموقوف عليه والمجتمع من الوقف تختلف بحيث إذا نفذ غرض أحد هؤلاء الثلاثة لتحقيق منفعته، تضرر الآخران لمخالفة غرضتهما لذلك كانت المصالح الراجحة هي معيار الحكم على صحة وجواز الوقف </w:t>
      </w:r>
      <w:r>
        <w:rPr>
          <w:rFonts w:hint="cs"/>
          <w:rtl/>
          <w:lang w:bidi="ar-EG"/>
        </w:rPr>
        <w:lastRenderedPageBreak/>
        <w:t>على النفس أو عدم صحته وجوازه، فإن المعتبر عند التعارض والذي ينسب إليه الحكم هي المصلحة الراجحة وما سواها في حكم المُغْفَل المطرح، يقول العز بن عبد السلام في شجرة المعارف والأحوال</w:t>
      </w:r>
      <w:r w:rsidRPr="0046333C">
        <w:rPr>
          <w:rFonts w:hint="cs"/>
          <w:vertAlign w:val="superscript"/>
          <w:rtl/>
          <w:lang w:bidi="ar-EG"/>
        </w:rPr>
        <w:t>(</w:t>
      </w:r>
      <w:r w:rsidRPr="0046333C">
        <w:rPr>
          <w:vertAlign w:val="superscript"/>
          <w:rtl/>
        </w:rPr>
        <w:footnoteReference w:id="74"/>
      </w:r>
      <w:r w:rsidRPr="0046333C">
        <w:rPr>
          <w:rFonts w:hint="cs"/>
          <w:vertAlign w:val="superscript"/>
          <w:rtl/>
          <w:lang w:bidi="ar-EG"/>
        </w:rPr>
        <w:t>)</w:t>
      </w:r>
      <w:r>
        <w:rPr>
          <w:rFonts w:hint="cs"/>
          <w:rtl/>
          <w:lang w:bidi="ar-EG"/>
        </w:rPr>
        <w:t>: كل احتمال يؤدي اعتباره إلى تعطيل المصالح المشروعة، أو جلب المفاسد المدفوعة، فهو منطرح لا لفتة إليه، ويقول الشاطبي في الموافقات: المصلحة إذا كانت غالبة فلا اعتبار بالندور في انحرافها، إذ لا توجد في العادة مصلحة عَر</w:t>
      </w:r>
      <w:r w:rsidR="007E11AC">
        <w:rPr>
          <w:rFonts w:hint="cs"/>
          <w:rtl/>
          <w:lang w:bidi="ar-EG"/>
        </w:rPr>
        <w:t>يَّة من المفسدة جملة، وما من مباح إلا وفيه الغالب مصالح ومفاسد</w:t>
      </w:r>
      <w:r w:rsidR="007E11AC" w:rsidRPr="0046333C">
        <w:rPr>
          <w:rFonts w:hint="cs"/>
          <w:vertAlign w:val="superscript"/>
          <w:rtl/>
          <w:lang w:bidi="ar-EG"/>
        </w:rPr>
        <w:t>(</w:t>
      </w:r>
      <w:r w:rsidR="007E11AC" w:rsidRPr="0046333C">
        <w:rPr>
          <w:vertAlign w:val="superscript"/>
          <w:rtl/>
        </w:rPr>
        <w:footnoteReference w:id="75"/>
      </w:r>
      <w:r w:rsidR="007E11AC" w:rsidRPr="0046333C">
        <w:rPr>
          <w:rFonts w:hint="cs"/>
          <w:vertAlign w:val="superscript"/>
          <w:rtl/>
          <w:lang w:bidi="ar-EG"/>
        </w:rPr>
        <w:t>)</w:t>
      </w:r>
      <w:r w:rsidR="007E11AC">
        <w:rPr>
          <w:rFonts w:hint="cs"/>
          <w:rtl/>
          <w:lang w:bidi="ar-EG"/>
        </w:rPr>
        <w:t>.</w:t>
      </w:r>
    </w:p>
    <w:p w14:paraId="0036521D" w14:textId="029BB4D9" w:rsidR="007E11AC" w:rsidRDefault="007E11AC" w:rsidP="00C60FB4">
      <w:pPr>
        <w:rPr>
          <w:rtl/>
          <w:lang w:bidi="ar-EG"/>
        </w:rPr>
      </w:pPr>
      <w:r>
        <w:rPr>
          <w:rFonts w:hint="cs"/>
          <w:rtl/>
          <w:lang w:bidi="ar-EG"/>
        </w:rPr>
        <w:t>ولما كان الوقف على النفس يحقق مصلحة راجحة للواقف وللمجتمع حيث يحفظ على الواقف دينه وماله وعرضه، وحيث بدرًا عن المجتمع تحمل نفقات الضمان الاجتماعي وهو في ذات الوقت لا يلحق ضررًا مباشرًا بأحد، فإنه حريّ به أن يأخذ حكم الإباحة، لأن كل أمر فيه مصلحة للخلق دون مضرة راجحة، غير منهي عنه شرعًا، وما كان منهيًا عنه للذريعة فإنه يُفعل لأجل المصلحة الراجحة</w:t>
      </w:r>
      <w:r w:rsidRPr="0046333C">
        <w:rPr>
          <w:rFonts w:hint="cs"/>
          <w:vertAlign w:val="superscript"/>
          <w:rtl/>
          <w:lang w:bidi="ar-EG"/>
        </w:rPr>
        <w:t>(</w:t>
      </w:r>
      <w:r w:rsidRPr="0046333C">
        <w:rPr>
          <w:vertAlign w:val="superscript"/>
          <w:rtl/>
        </w:rPr>
        <w:footnoteReference w:id="76"/>
      </w:r>
      <w:r w:rsidRPr="0046333C">
        <w:rPr>
          <w:rFonts w:hint="cs"/>
          <w:vertAlign w:val="superscript"/>
          <w:rtl/>
          <w:lang w:bidi="ar-EG"/>
        </w:rPr>
        <w:t>)</w:t>
      </w:r>
      <w:r>
        <w:rPr>
          <w:rFonts w:hint="cs"/>
          <w:rtl/>
          <w:lang w:bidi="ar-EG"/>
        </w:rPr>
        <w:t>.</w:t>
      </w:r>
    </w:p>
    <w:p w14:paraId="56AE48CC" w14:textId="6CF99B91" w:rsidR="00326881" w:rsidRDefault="00326881" w:rsidP="00C60FB4">
      <w:pPr>
        <w:rPr>
          <w:rtl/>
          <w:lang w:bidi="ar-EG"/>
        </w:rPr>
      </w:pPr>
      <w:r>
        <w:rPr>
          <w:rFonts w:hint="cs"/>
          <w:rtl/>
          <w:lang w:bidi="ar-EG"/>
        </w:rPr>
        <w:t>وإذا كان ذلك كذلك كان الوقف على النفس من القُرُبات وكان مساويًا للوقف المطلق في ثبوت الأجر لفاعله.</w:t>
      </w:r>
    </w:p>
    <w:p w14:paraId="17485727" w14:textId="48F53137" w:rsidR="00326881" w:rsidRDefault="00326881" w:rsidP="00326881">
      <w:pPr>
        <w:spacing w:after="120"/>
        <w:rPr>
          <w:rtl/>
          <w:lang w:bidi="ar-EG"/>
        </w:rPr>
      </w:pPr>
      <w:r w:rsidRPr="00326881">
        <w:rPr>
          <w:rStyle w:val="Heading3Char"/>
          <w:rFonts w:hint="cs"/>
          <w:rtl/>
        </w:rPr>
        <w:t>الدليل الثالث عشر:</w:t>
      </w:r>
      <w:r>
        <w:rPr>
          <w:rFonts w:hint="cs"/>
          <w:rtl/>
          <w:lang w:bidi="ar-EG"/>
        </w:rPr>
        <w:t xml:space="preserve"> إن القول بعدم صحة الوقف على النفس لكونه مناقضًا لأصل الوقف، ومباين لحقيقته ولا يلائمه في معناه ،وذلك لكونه يأخذ حكم الصدقات التي لا يصح أن يشترك المتصدق جزءًا من منافعها أو كل منافعها لنفسه، وإذا كان الشرط باطلًا في الصدقة العادية فإنه يكون باطلًا كذلك في الوقف، فضلًا عن كون الوقف </w:t>
      </w:r>
      <w:r>
        <w:rPr>
          <w:rFonts w:hint="cs"/>
          <w:rtl/>
          <w:lang w:bidi="ar-EG"/>
        </w:rPr>
        <w:lastRenderedPageBreak/>
        <w:t>بإجماع الفقهاء الذين قالوا بلزومه تبرع بالثمرة مع حبس العين ولا يجوز الجمع بين التبرع بالثمرة وإنفاقها على النفس بل واشتراطها للنفس، فكأن الواقف قد أعطى ومنع وتبرع واسترد ما تبرع به، ولذلك فإن اشتراط الغلة كلها أو بعضها للنفس ينافي حقيقة الوقف ومقتضاه.</w:t>
      </w:r>
    </w:p>
    <w:p w14:paraId="6F60646D" w14:textId="0F6FC131" w:rsidR="00326881" w:rsidRDefault="00326881" w:rsidP="00326881">
      <w:pPr>
        <w:spacing w:after="120"/>
        <w:rPr>
          <w:rtl/>
          <w:lang w:bidi="ar-EG"/>
        </w:rPr>
      </w:pPr>
      <w:r>
        <w:rPr>
          <w:rFonts w:hint="cs"/>
          <w:rtl/>
          <w:lang w:bidi="ar-EG"/>
        </w:rPr>
        <w:t>ويمكن أن يجاب على دليل المنع هذا بما يترتب عليه من إهلاك النفس وإلحاق الضرر بها أثناء أو في سبيل الحرص والقيام بمصالح الغير، فإن منع الواقف من الوقف على نفسه مع حاجته إليه يلحق به ضررًا ومفسدة دنيوية لا يمكن لغيره إزالتها، ويدخل تحت قاعدة التكليف بما لا يطاق ويخرج عن نطاق قواعد الإيثار وتقديم المصالح العامة على المصلحة الخاصة، وذلك فضلًا عما ينطوي عليه المنع من الإخلال بمقاصد الشريعة في حفظ الدين والنفس والمال والعرض، فإن صاحب المال الذي تقتضيه الضرورة وقف ماله على نفسه، إذا ترتب على منعه من الوقف وهلك ماله وارتكبته الديون حدّث فكذب ووعد فأخلف وأؤتمن فخان وفسد دينه، ومرض فعجز عن العلاج وجاع وعرى فلم يجد ما يشبع به حاجاته الأصلية فهلكت نفسه، وهان شأنه بين الناس فهلك عرضه، والفقهاء يقولون</w:t>
      </w:r>
      <w:r w:rsidR="0075722B">
        <w:rPr>
          <w:rFonts w:hint="cs"/>
          <w:rtl/>
          <w:lang w:bidi="ar-EG"/>
        </w:rPr>
        <w:t>:</w:t>
      </w:r>
    </w:p>
    <w:p w14:paraId="60A06F60" w14:textId="04BD2FDD" w:rsidR="00326881" w:rsidRDefault="00326881">
      <w:pPr>
        <w:pStyle w:val="ListParagraph"/>
        <w:numPr>
          <w:ilvl w:val="0"/>
          <w:numId w:val="26"/>
        </w:numPr>
        <w:spacing w:after="120"/>
        <w:ind w:left="567" w:hanging="567"/>
        <w:contextualSpacing w:val="0"/>
        <w:rPr>
          <w:lang w:bidi="ar-EG"/>
        </w:rPr>
      </w:pPr>
      <w:r>
        <w:rPr>
          <w:rFonts w:hint="cs"/>
          <w:rtl/>
          <w:lang w:bidi="ar-EG"/>
        </w:rPr>
        <w:t>كل ما أضر بالمسلمين وجب أن ينفى عنهم</w:t>
      </w:r>
      <w:r w:rsidRPr="0046333C">
        <w:rPr>
          <w:rFonts w:hint="cs"/>
          <w:vertAlign w:val="superscript"/>
          <w:rtl/>
          <w:lang w:bidi="ar-EG"/>
        </w:rPr>
        <w:t>(</w:t>
      </w:r>
      <w:r w:rsidRPr="0046333C">
        <w:rPr>
          <w:vertAlign w:val="superscript"/>
          <w:rtl/>
        </w:rPr>
        <w:footnoteReference w:id="77"/>
      </w:r>
      <w:r w:rsidRPr="0046333C">
        <w:rPr>
          <w:rFonts w:hint="cs"/>
          <w:vertAlign w:val="superscript"/>
          <w:rtl/>
          <w:lang w:bidi="ar-EG"/>
        </w:rPr>
        <w:t>)</w:t>
      </w:r>
      <w:r>
        <w:rPr>
          <w:rFonts w:hint="cs"/>
          <w:rtl/>
          <w:lang w:bidi="ar-EG"/>
        </w:rPr>
        <w:t>، ويقولون:</w:t>
      </w:r>
    </w:p>
    <w:p w14:paraId="7F5C1711" w14:textId="504E8258" w:rsidR="00326881" w:rsidRDefault="00326881">
      <w:pPr>
        <w:pStyle w:val="ListParagraph"/>
        <w:numPr>
          <w:ilvl w:val="0"/>
          <w:numId w:val="26"/>
        </w:numPr>
        <w:spacing w:after="120"/>
        <w:ind w:left="567" w:hanging="567"/>
        <w:contextualSpacing w:val="0"/>
        <w:rPr>
          <w:lang w:bidi="ar-EG"/>
        </w:rPr>
      </w:pPr>
      <w:r>
        <w:rPr>
          <w:rFonts w:hint="cs"/>
          <w:rtl/>
          <w:lang w:bidi="ar-EG"/>
        </w:rPr>
        <w:t>كل ما دعت الضرورة إليه من المحظور، فإنه ساقط الاعتبار على حسب الحاجة وبقدر الضرورة</w:t>
      </w:r>
      <w:r w:rsidRPr="0046333C">
        <w:rPr>
          <w:rFonts w:hint="cs"/>
          <w:vertAlign w:val="superscript"/>
          <w:rtl/>
          <w:lang w:bidi="ar-EG"/>
        </w:rPr>
        <w:t>(</w:t>
      </w:r>
      <w:r w:rsidRPr="0046333C">
        <w:rPr>
          <w:vertAlign w:val="superscript"/>
          <w:rtl/>
        </w:rPr>
        <w:footnoteReference w:id="78"/>
      </w:r>
      <w:r w:rsidRPr="0046333C">
        <w:rPr>
          <w:rFonts w:hint="cs"/>
          <w:vertAlign w:val="superscript"/>
          <w:rtl/>
          <w:lang w:bidi="ar-EG"/>
        </w:rPr>
        <w:t>)</w:t>
      </w:r>
      <w:r>
        <w:rPr>
          <w:rFonts w:hint="cs"/>
          <w:rtl/>
          <w:lang w:bidi="ar-EG"/>
        </w:rPr>
        <w:t>، ويقولون:</w:t>
      </w:r>
    </w:p>
    <w:p w14:paraId="611326E5" w14:textId="3CE2C35F" w:rsidR="00326881" w:rsidRDefault="00326881">
      <w:pPr>
        <w:pStyle w:val="ListParagraph"/>
        <w:numPr>
          <w:ilvl w:val="0"/>
          <w:numId w:val="26"/>
        </w:numPr>
        <w:ind w:left="567" w:hanging="567"/>
        <w:rPr>
          <w:lang w:bidi="ar-EG"/>
        </w:rPr>
      </w:pPr>
      <w:r>
        <w:rPr>
          <w:rFonts w:hint="cs"/>
          <w:rtl/>
          <w:lang w:bidi="ar-EG"/>
        </w:rPr>
        <w:lastRenderedPageBreak/>
        <w:t>كل ما دعت الحاجة إليه في الشريعة مما فيه منفعة ولم يعارضه محظور، فإنه جائز وواجب بحسب حاله، وهذا أصل بديع</w:t>
      </w:r>
      <w:r w:rsidRPr="0046333C">
        <w:rPr>
          <w:rFonts w:hint="cs"/>
          <w:vertAlign w:val="superscript"/>
          <w:rtl/>
          <w:lang w:bidi="ar-EG"/>
        </w:rPr>
        <w:t>(</w:t>
      </w:r>
      <w:r w:rsidRPr="0046333C">
        <w:rPr>
          <w:vertAlign w:val="superscript"/>
          <w:rtl/>
        </w:rPr>
        <w:footnoteReference w:id="79"/>
      </w:r>
      <w:r w:rsidRPr="0046333C">
        <w:rPr>
          <w:rFonts w:hint="cs"/>
          <w:vertAlign w:val="superscript"/>
          <w:rtl/>
          <w:lang w:bidi="ar-EG"/>
        </w:rPr>
        <w:t>)</w:t>
      </w:r>
      <w:r>
        <w:rPr>
          <w:rFonts w:hint="cs"/>
          <w:rtl/>
          <w:lang w:bidi="ar-EG"/>
        </w:rPr>
        <w:t>، ويقولون:</w:t>
      </w:r>
    </w:p>
    <w:p w14:paraId="07AA2F4E" w14:textId="6D8D878A" w:rsidR="00326881" w:rsidRDefault="00326881">
      <w:pPr>
        <w:pStyle w:val="ListParagraph"/>
        <w:numPr>
          <w:ilvl w:val="0"/>
          <w:numId w:val="26"/>
        </w:numPr>
        <w:ind w:left="567" w:hanging="567"/>
        <w:rPr>
          <w:lang w:bidi="ar-EG"/>
        </w:rPr>
      </w:pPr>
      <w:r>
        <w:rPr>
          <w:rFonts w:hint="cs"/>
          <w:rtl/>
          <w:lang w:bidi="ar-EG"/>
        </w:rPr>
        <w:t>محالّ الاضطرار مغتفرة في الشرع</w:t>
      </w:r>
      <w:r w:rsidRPr="0046333C">
        <w:rPr>
          <w:rFonts w:hint="cs"/>
          <w:vertAlign w:val="superscript"/>
          <w:rtl/>
          <w:lang w:bidi="ar-EG"/>
        </w:rPr>
        <w:t>(</w:t>
      </w:r>
      <w:r w:rsidRPr="0046333C">
        <w:rPr>
          <w:vertAlign w:val="superscript"/>
          <w:rtl/>
        </w:rPr>
        <w:footnoteReference w:id="80"/>
      </w:r>
      <w:r w:rsidRPr="0046333C">
        <w:rPr>
          <w:rFonts w:hint="cs"/>
          <w:vertAlign w:val="superscript"/>
          <w:rtl/>
          <w:lang w:bidi="ar-EG"/>
        </w:rPr>
        <w:t>)</w:t>
      </w:r>
      <w:r>
        <w:rPr>
          <w:rFonts w:hint="cs"/>
          <w:rtl/>
          <w:lang w:bidi="ar-EG"/>
        </w:rPr>
        <w:t>، ويقولون:</w:t>
      </w:r>
    </w:p>
    <w:p w14:paraId="43F0AED0" w14:textId="5435FD24" w:rsidR="00326881" w:rsidRDefault="00326881">
      <w:pPr>
        <w:pStyle w:val="ListParagraph"/>
        <w:numPr>
          <w:ilvl w:val="0"/>
          <w:numId w:val="26"/>
        </w:numPr>
        <w:ind w:left="567" w:hanging="567"/>
        <w:rPr>
          <w:lang w:bidi="ar-EG"/>
        </w:rPr>
      </w:pPr>
      <w:r>
        <w:rPr>
          <w:rFonts w:hint="cs"/>
          <w:rtl/>
          <w:lang w:bidi="ar-EG"/>
        </w:rPr>
        <w:t>الحاجة والعرف يقتضيان تصحيح ما كان فاسدًا في الأصل</w:t>
      </w:r>
      <w:r w:rsidRPr="0046333C">
        <w:rPr>
          <w:rFonts w:hint="cs"/>
          <w:vertAlign w:val="superscript"/>
          <w:rtl/>
          <w:lang w:bidi="ar-EG"/>
        </w:rPr>
        <w:t>(</w:t>
      </w:r>
      <w:r w:rsidRPr="0046333C">
        <w:rPr>
          <w:vertAlign w:val="superscript"/>
          <w:rtl/>
        </w:rPr>
        <w:footnoteReference w:id="81"/>
      </w:r>
      <w:r w:rsidRPr="0046333C">
        <w:rPr>
          <w:rFonts w:hint="cs"/>
          <w:vertAlign w:val="superscript"/>
          <w:rtl/>
          <w:lang w:bidi="ar-EG"/>
        </w:rPr>
        <w:t>)</w:t>
      </w:r>
      <w:r>
        <w:rPr>
          <w:rFonts w:hint="cs"/>
          <w:rtl/>
          <w:lang w:bidi="ar-EG"/>
        </w:rPr>
        <w:t>، ويقولون:</w:t>
      </w:r>
    </w:p>
    <w:p w14:paraId="2CE28C17" w14:textId="716C77E7" w:rsidR="0074114B" w:rsidRPr="00C60FB4" w:rsidRDefault="0074114B">
      <w:pPr>
        <w:pStyle w:val="ListParagraph"/>
        <w:numPr>
          <w:ilvl w:val="0"/>
          <w:numId w:val="26"/>
        </w:numPr>
        <w:ind w:left="567" w:hanging="567"/>
        <w:rPr>
          <w:rtl/>
          <w:lang w:bidi="ar-EG"/>
        </w:rPr>
      </w:pPr>
      <w:r>
        <w:rPr>
          <w:rFonts w:hint="cs"/>
          <w:rtl/>
          <w:lang w:bidi="ar-EG"/>
        </w:rPr>
        <w:t>الأشياء على الإباحة في جميع المنتفعات إلا ما حرمه الشرع</w:t>
      </w:r>
      <w:r w:rsidRPr="0046333C">
        <w:rPr>
          <w:rFonts w:hint="cs"/>
          <w:vertAlign w:val="superscript"/>
          <w:rtl/>
          <w:lang w:bidi="ar-EG"/>
        </w:rPr>
        <w:t>(</w:t>
      </w:r>
      <w:r w:rsidRPr="0046333C">
        <w:rPr>
          <w:vertAlign w:val="superscript"/>
          <w:rtl/>
        </w:rPr>
        <w:footnoteReference w:id="82"/>
      </w:r>
      <w:r w:rsidRPr="0046333C">
        <w:rPr>
          <w:rFonts w:hint="cs"/>
          <w:vertAlign w:val="superscript"/>
          <w:rtl/>
          <w:lang w:bidi="ar-EG"/>
        </w:rPr>
        <w:t>)</w:t>
      </w:r>
      <w:r>
        <w:rPr>
          <w:rFonts w:hint="cs"/>
          <w:rtl/>
          <w:lang w:bidi="ar-EG"/>
        </w:rPr>
        <w:t>.</w:t>
      </w:r>
    </w:p>
    <w:p w14:paraId="2295A1B0" w14:textId="08DE5622" w:rsidR="0075722B" w:rsidRDefault="0075722B" w:rsidP="0075722B">
      <w:pPr>
        <w:rPr>
          <w:rFonts w:eastAsiaTheme="minorHAnsi"/>
          <w:kern w:val="0"/>
          <w:rtl/>
        </w:rPr>
      </w:pPr>
      <w:r w:rsidRPr="004674A3">
        <w:rPr>
          <w:rStyle w:val="Heading3Char"/>
          <w:rFonts w:hint="cs"/>
          <w:rtl/>
        </w:rPr>
        <w:t>الدليل الرابع عشر:</w:t>
      </w:r>
      <w:r>
        <w:rPr>
          <w:rFonts w:hint="cs"/>
          <w:rtl/>
          <w:lang w:bidi="ar-EG"/>
        </w:rPr>
        <w:t xml:space="preserve"> أن الوقف على النفس</w:t>
      </w:r>
      <w:r w:rsidR="004674A3">
        <w:rPr>
          <w:rFonts w:hint="cs"/>
          <w:rtl/>
          <w:lang w:bidi="ar-EG"/>
        </w:rPr>
        <w:t xml:space="preserve"> فضلًا عن كونه يتفق مع مقاصد الشريعة العامة في حفظ الدين والنفس والمال والعرض، وعن كونه يحقق مصلحة راجحة للواقف فإنه ينطوي على امتثال الواقف للعمل بالتوجيه القرآني في قوله تعالى: </w:t>
      </w:r>
      <w:r w:rsidR="004674A3">
        <w:rPr>
          <w:rFonts w:ascii="QCF2BSML" w:eastAsiaTheme="minorHAnsi" w:hAnsi="QCF2BSML" w:cs="QCF2BSML"/>
          <w:color w:val="000000"/>
          <w:kern w:val="0"/>
          <w:sz w:val="26"/>
          <w:szCs w:val="26"/>
          <w:rtl/>
        </w:rPr>
        <w:t>ﱵﭐ</w:t>
      </w:r>
      <w:r w:rsidR="004674A3">
        <w:rPr>
          <w:rFonts w:ascii="QCF2083" w:eastAsiaTheme="minorHAnsi" w:hAnsi="QCF2083" w:cs="QCF2083"/>
          <w:color w:val="000000"/>
          <w:kern w:val="0"/>
          <w:sz w:val="2"/>
          <w:szCs w:val="2"/>
          <w:rtl/>
        </w:rPr>
        <w:t xml:space="preserve"> </w:t>
      </w:r>
      <w:r w:rsidR="004674A3">
        <w:rPr>
          <w:rFonts w:ascii="QCF2083" w:eastAsiaTheme="minorHAnsi" w:hAnsi="QCF2083" w:cs="QCF2083"/>
          <w:color w:val="000000"/>
          <w:kern w:val="0"/>
          <w:sz w:val="26"/>
          <w:szCs w:val="26"/>
          <w:rtl/>
        </w:rPr>
        <w:t>ﱩ</w:t>
      </w:r>
      <w:r w:rsidR="004674A3">
        <w:rPr>
          <w:rFonts w:ascii="QCF2083" w:eastAsiaTheme="minorHAnsi" w:hAnsi="QCF2083" w:cs="QCF2083"/>
          <w:color w:val="000000"/>
          <w:kern w:val="0"/>
          <w:sz w:val="2"/>
          <w:szCs w:val="2"/>
          <w:rtl/>
        </w:rPr>
        <w:t xml:space="preserve"> </w:t>
      </w:r>
      <w:r w:rsidR="004674A3">
        <w:rPr>
          <w:rFonts w:ascii="QCF2083" w:eastAsiaTheme="minorHAnsi" w:hAnsi="QCF2083" w:cs="QCF2083"/>
          <w:color w:val="000000"/>
          <w:kern w:val="0"/>
          <w:sz w:val="26"/>
          <w:szCs w:val="26"/>
          <w:rtl/>
        </w:rPr>
        <w:t>ﱪ</w:t>
      </w:r>
      <w:r w:rsidR="004674A3">
        <w:rPr>
          <w:rFonts w:ascii="QCF2083" w:eastAsiaTheme="minorHAnsi" w:hAnsi="QCF2083" w:cs="QCF2083"/>
          <w:color w:val="000000"/>
          <w:kern w:val="0"/>
          <w:sz w:val="2"/>
          <w:szCs w:val="2"/>
          <w:rtl/>
        </w:rPr>
        <w:t xml:space="preserve"> </w:t>
      </w:r>
      <w:r w:rsidR="004674A3">
        <w:rPr>
          <w:rFonts w:ascii="QCF2083" w:eastAsiaTheme="minorHAnsi" w:hAnsi="QCF2083" w:cs="QCF2083"/>
          <w:color w:val="000000"/>
          <w:kern w:val="0"/>
          <w:sz w:val="26"/>
          <w:szCs w:val="26"/>
          <w:rtl/>
        </w:rPr>
        <w:t>ﱫﱬ</w:t>
      </w:r>
      <w:r w:rsidR="004674A3">
        <w:rPr>
          <w:rFonts w:ascii="QCF2083" w:eastAsiaTheme="minorHAnsi" w:hAnsi="QCF2083" w:cs="QCF2083"/>
          <w:color w:val="000000"/>
          <w:kern w:val="0"/>
          <w:sz w:val="2"/>
          <w:szCs w:val="2"/>
          <w:rtl/>
        </w:rPr>
        <w:t xml:space="preserve">  </w:t>
      </w:r>
      <w:r w:rsidR="004674A3">
        <w:rPr>
          <w:rFonts w:ascii="QCF2083" w:eastAsiaTheme="minorHAnsi" w:hAnsi="QCF2083" w:cs="QCF2083"/>
          <w:color w:val="000000"/>
          <w:kern w:val="0"/>
          <w:sz w:val="26"/>
          <w:szCs w:val="26"/>
          <w:rtl/>
        </w:rPr>
        <w:t>ﱭ</w:t>
      </w:r>
      <w:r w:rsidR="004674A3">
        <w:rPr>
          <w:rFonts w:ascii="QCF2083" w:eastAsiaTheme="minorHAnsi" w:hAnsi="QCF2083" w:cs="QCF2083"/>
          <w:color w:val="000000"/>
          <w:kern w:val="0"/>
          <w:sz w:val="2"/>
          <w:szCs w:val="2"/>
          <w:rtl/>
        </w:rPr>
        <w:t xml:space="preserve"> </w:t>
      </w:r>
      <w:r w:rsidR="004674A3">
        <w:rPr>
          <w:rFonts w:ascii="QCF2083" w:eastAsiaTheme="minorHAnsi" w:hAnsi="QCF2083" w:cs="QCF2083"/>
          <w:color w:val="000000"/>
          <w:kern w:val="0"/>
          <w:sz w:val="26"/>
          <w:szCs w:val="26"/>
          <w:rtl/>
        </w:rPr>
        <w:t>ﱮ</w:t>
      </w:r>
      <w:r w:rsidR="004674A3">
        <w:rPr>
          <w:rFonts w:ascii="QCF2083" w:eastAsiaTheme="minorHAnsi" w:hAnsi="QCF2083" w:cs="QCF2083"/>
          <w:color w:val="000000"/>
          <w:kern w:val="0"/>
          <w:sz w:val="2"/>
          <w:szCs w:val="2"/>
          <w:rtl/>
        </w:rPr>
        <w:t xml:space="preserve"> </w:t>
      </w:r>
      <w:r w:rsidR="004674A3">
        <w:rPr>
          <w:rFonts w:ascii="QCF2083" w:eastAsiaTheme="minorHAnsi" w:hAnsi="QCF2083" w:cs="QCF2083"/>
          <w:color w:val="000000"/>
          <w:kern w:val="0"/>
          <w:sz w:val="26"/>
          <w:szCs w:val="26"/>
          <w:rtl/>
        </w:rPr>
        <w:t>ﱯ</w:t>
      </w:r>
      <w:r w:rsidR="004674A3">
        <w:rPr>
          <w:rFonts w:ascii="QCF2083" w:eastAsiaTheme="minorHAnsi" w:hAnsi="QCF2083" w:cs="QCF2083"/>
          <w:color w:val="000000"/>
          <w:kern w:val="0"/>
          <w:sz w:val="2"/>
          <w:szCs w:val="2"/>
          <w:rtl/>
        </w:rPr>
        <w:t xml:space="preserve"> </w:t>
      </w:r>
      <w:r w:rsidR="004674A3">
        <w:rPr>
          <w:rFonts w:ascii="QCF2083" w:eastAsiaTheme="minorHAnsi" w:hAnsi="QCF2083" w:cs="QCF2083"/>
          <w:color w:val="000000"/>
          <w:kern w:val="0"/>
          <w:sz w:val="26"/>
          <w:szCs w:val="26"/>
          <w:rtl/>
        </w:rPr>
        <w:t>ﱰ</w:t>
      </w:r>
      <w:r w:rsidR="004674A3">
        <w:rPr>
          <w:rFonts w:ascii="QCF2083" w:eastAsiaTheme="minorHAnsi" w:hAnsi="QCF2083" w:cs="QCF2083"/>
          <w:color w:val="000000"/>
          <w:kern w:val="0"/>
          <w:sz w:val="2"/>
          <w:szCs w:val="2"/>
          <w:rtl/>
        </w:rPr>
        <w:t xml:space="preserve"> </w:t>
      </w:r>
      <w:r w:rsidR="004674A3">
        <w:rPr>
          <w:rFonts w:ascii="QCF2083" w:eastAsiaTheme="minorHAnsi" w:hAnsi="QCF2083" w:cs="QCF2083"/>
          <w:color w:val="000000"/>
          <w:kern w:val="0"/>
          <w:sz w:val="26"/>
          <w:szCs w:val="26"/>
          <w:rtl/>
        </w:rPr>
        <w:t>ﱱ</w:t>
      </w:r>
      <w:r w:rsidR="004674A3">
        <w:rPr>
          <w:rFonts w:ascii="QCF2083" w:eastAsiaTheme="minorHAnsi" w:hAnsi="QCF2083" w:cs="QCF2083"/>
          <w:color w:val="000000"/>
          <w:kern w:val="0"/>
          <w:sz w:val="2"/>
          <w:szCs w:val="2"/>
          <w:rtl/>
        </w:rPr>
        <w:t xml:space="preserve"> </w:t>
      </w:r>
      <w:r w:rsidR="004674A3">
        <w:rPr>
          <w:rFonts w:ascii="QCF2BSML" w:eastAsiaTheme="minorHAnsi" w:hAnsi="QCF2BSML" w:cs="QCF2BSML"/>
          <w:color w:val="000000"/>
          <w:kern w:val="0"/>
          <w:sz w:val="26"/>
          <w:szCs w:val="26"/>
          <w:rtl/>
        </w:rPr>
        <w:t>ﱴ</w:t>
      </w:r>
      <w:r w:rsidR="004674A3">
        <w:rPr>
          <w:rFonts w:eastAsiaTheme="minorHAnsi" w:hint="cs"/>
          <w:kern w:val="0"/>
          <w:rtl/>
        </w:rPr>
        <w:t xml:space="preserve"> [الآية رقم: 29، سورة النساء]، وفي قوله عز وجل: </w:t>
      </w:r>
      <w:r w:rsidR="004674A3">
        <w:rPr>
          <w:rFonts w:ascii="QCF2BSML" w:eastAsiaTheme="minorHAnsi" w:hAnsi="QCF2BSML" w:cs="QCF2BSML"/>
          <w:color w:val="000000"/>
          <w:kern w:val="0"/>
          <w:sz w:val="26"/>
          <w:szCs w:val="26"/>
          <w:rtl/>
        </w:rPr>
        <w:t>ﱵﭐ</w:t>
      </w:r>
      <w:r w:rsidR="004674A3">
        <w:rPr>
          <w:rFonts w:ascii="QCF2030" w:eastAsiaTheme="minorHAnsi" w:hAnsi="QCF2030" w:cs="QCF2030"/>
          <w:color w:val="000000"/>
          <w:kern w:val="0"/>
          <w:sz w:val="2"/>
          <w:szCs w:val="2"/>
          <w:rtl/>
        </w:rPr>
        <w:t xml:space="preserve"> </w:t>
      </w:r>
      <w:r w:rsidR="004674A3">
        <w:rPr>
          <w:rFonts w:ascii="QCF2030" w:eastAsiaTheme="minorHAnsi" w:hAnsi="QCF2030" w:cs="QCF2030"/>
          <w:color w:val="000000"/>
          <w:kern w:val="0"/>
          <w:sz w:val="26"/>
          <w:szCs w:val="26"/>
          <w:rtl/>
        </w:rPr>
        <w:t>ﲐ</w:t>
      </w:r>
      <w:r w:rsidR="004674A3">
        <w:rPr>
          <w:rFonts w:ascii="QCF2030" w:eastAsiaTheme="minorHAnsi" w:hAnsi="QCF2030" w:cs="QCF2030"/>
          <w:color w:val="000000"/>
          <w:kern w:val="0"/>
          <w:sz w:val="2"/>
          <w:szCs w:val="2"/>
          <w:rtl/>
        </w:rPr>
        <w:t xml:space="preserve"> </w:t>
      </w:r>
      <w:r w:rsidR="004674A3">
        <w:rPr>
          <w:rFonts w:ascii="QCF2030" w:eastAsiaTheme="minorHAnsi" w:hAnsi="QCF2030" w:cs="QCF2030"/>
          <w:color w:val="000000"/>
          <w:kern w:val="0"/>
          <w:sz w:val="26"/>
          <w:szCs w:val="26"/>
          <w:rtl/>
        </w:rPr>
        <w:t>ﲑ</w:t>
      </w:r>
      <w:r w:rsidR="004674A3">
        <w:rPr>
          <w:rFonts w:ascii="QCF2030" w:eastAsiaTheme="minorHAnsi" w:hAnsi="QCF2030" w:cs="QCF2030"/>
          <w:color w:val="000000"/>
          <w:kern w:val="0"/>
          <w:sz w:val="2"/>
          <w:szCs w:val="2"/>
          <w:rtl/>
        </w:rPr>
        <w:t xml:space="preserve"> </w:t>
      </w:r>
      <w:r w:rsidR="004674A3">
        <w:rPr>
          <w:rFonts w:ascii="QCF2030" w:eastAsiaTheme="minorHAnsi" w:hAnsi="QCF2030" w:cs="QCF2030"/>
          <w:color w:val="000000"/>
          <w:kern w:val="0"/>
          <w:sz w:val="26"/>
          <w:szCs w:val="26"/>
          <w:rtl/>
        </w:rPr>
        <w:t>ﲒ</w:t>
      </w:r>
      <w:r w:rsidR="004674A3">
        <w:rPr>
          <w:rFonts w:ascii="QCF2030" w:eastAsiaTheme="minorHAnsi" w:hAnsi="QCF2030" w:cs="QCF2030"/>
          <w:color w:val="000000"/>
          <w:kern w:val="0"/>
          <w:sz w:val="2"/>
          <w:szCs w:val="2"/>
          <w:rtl/>
        </w:rPr>
        <w:t xml:space="preserve"> </w:t>
      </w:r>
      <w:r w:rsidR="004674A3">
        <w:rPr>
          <w:rFonts w:ascii="QCF2030" w:eastAsiaTheme="minorHAnsi" w:hAnsi="QCF2030" w:cs="QCF2030"/>
          <w:color w:val="000000"/>
          <w:kern w:val="0"/>
          <w:sz w:val="26"/>
          <w:szCs w:val="26"/>
          <w:rtl/>
        </w:rPr>
        <w:t>ﲓ</w:t>
      </w:r>
      <w:r w:rsidR="004674A3">
        <w:rPr>
          <w:rFonts w:ascii="QCF2030" w:eastAsiaTheme="minorHAnsi" w:hAnsi="QCF2030" w:cs="QCF2030"/>
          <w:color w:val="000000"/>
          <w:kern w:val="0"/>
          <w:sz w:val="2"/>
          <w:szCs w:val="2"/>
          <w:rtl/>
        </w:rPr>
        <w:t xml:space="preserve"> </w:t>
      </w:r>
      <w:r w:rsidR="004674A3">
        <w:rPr>
          <w:rFonts w:ascii="QCF2030" w:eastAsiaTheme="minorHAnsi" w:hAnsi="QCF2030" w:cs="QCF2030"/>
          <w:color w:val="000000"/>
          <w:kern w:val="0"/>
          <w:sz w:val="26"/>
          <w:szCs w:val="26"/>
          <w:rtl/>
        </w:rPr>
        <w:t>ﲔ</w:t>
      </w:r>
      <w:r w:rsidR="004674A3">
        <w:rPr>
          <w:rFonts w:ascii="QCF2030" w:eastAsiaTheme="minorHAnsi" w:hAnsi="QCF2030" w:cs="QCF2030"/>
          <w:color w:val="000000"/>
          <w:kern w:val="0"/>
          <w:sz w:val="2"/>
          <w:szCs w:val="2"/>
          <w:rtl/>
        </w:rPr>
        <w:t xml:space="preserve"> </w:t>
      </w:r>
      <w:r w:rsidR="004674A3">
        <w:rPr>
          <w:rFonts w:ascii="QCF2030" w:eastAsiaTheme="minorHAnsi" w:hAnsi="QCF2030" w:cs="QCF2030"/>
          <w:color w:val="000000"/>
          <w:kern w:val="0"/>
          <w:sz w:val="26"/>
          <w:szCs w:val="26"/>
          <w:rtl/>
        </w:rPr>
        <w:t>ﲕ</w:t>
      </w:r>
      <w:r w:rsidR="004674A3">
        <w:rPr>
          <w:rFonts w:ascii="QCF2030" w:eastAsiaTheme="minorHAnsi" w:hAnsi="QCF2030" w:cs="QCF2030"/>
          <w:color w:val="000000"/>
          <w:kern w:val="0"/>
          <w:sz w:val="2"/>
          <w:szCs w:val="2"/>
          <w:rtl/>
        </w:rPr>
        <w:t xml:space="preserve"> </w:t>
      </w:r>
      <w:r w:rsidR="004674A3">
        <w:rPr>
          <w:rFonts w:ascii="QCF2030" w:eastAsiaTheme="minorHAnsi" w:hAnsi="QCF2030" w:cs="QCF2030"/>
          <w:color w:val="000000"/>
          <w:kern w:val="0"/>
          <w:sz w:val="26"/>
          <w:szCs w:val="26"/>
          <w:rtl/>
        </w:rPr>
        <w:t>ﲖ</w:t>
      </w:r>
      <w:r w:rsidR="004674A3">
        <w:rPr>
          <w:rFonts w:ascii="QCF2030" w:eastAsiaTheme="minorHAnsi" w:hAnsi="QCF2030" w:cs="QCF2030"/>
          <w:color w:val="000000"/>
          <w:kern w:val="0"/>
          <w:sz w:val="2"/>
          <w:szCs w:val="2"/>
          <w:rtl/>
        </w:rPr>
        <w:t xml:space="preserve"> </w:t>
      </w:r>
      <w:r w:rsidR="004674A3">
        <w:rPr>
          <w:rFonts w:ascii="QCF2030" w:eastAsiaTheme="minorHAnsi" w:hAnsi="QCF2030" w:cs="QCF2030"/>
          <w:color w:val="000000"/>
          <w:kern w:val="0"/>
          <w:sz w:val="26"/>
          <w:szCs w:val="26"/>
          <w:rtl/>
        </w:rPr>
        <w:t>ﲗ</w:t>
      </w:r>
      <w:r w:rsidR="004674A3">
        <w:rPr>
          <w:rFonts w:ascii="QCF2030" w:eastAsiaTheme="minorHAnsi" w:hAnsi="QCF2030" w:cs="QCF2030"/>
          <w:color w:val="000000"/>
          <w:kern w:val="0"/>
          <w:sz w:val="2"/>
          <w:szCs w:val="2"/>
          <w:rtl/>
        </w:rPr>
        <w:t xml:space="preserve"> </w:t>
      </w:r>
      <w:r w:rsidR="004674A3">
        <w:rPr>
          <w:rFonts w:ascii="QCF2030" w:eastAsiaTheme="minorHAnsi" w:hAnsi="QCF2030" w:cs="QCF2030"/>
          <w:color w:val="000000"/>
          <w:kern w:val="0"/>
          <w:sz w:val="26"/>
          <w:szCs w:val="26"/>
          <w:rtl/>
        </w:rPr>
        <w:t>ﲘ</w:t>
      </w:r>
      <w:r w:rsidR="004674A3">
        <w:rPr>
          <w:rFonts w:ascii="QCF2030" w:eastAsiaTheme="minorHAnsi" w:hAnsi="QCF2030" w:cs="QCF2030"/>
          <w:color w:val="000000"/>
          <w:kern w:val="0"/>
          <w:sz w:val="2"/>
          <w:szCs w:val="2"/>
          <w:rtl/>
        </w:rPr>
        <w:t xml:space="preserve"> </w:t>
      </w:r>
      <w:r w:rsidR="004674A3">
        <w:rPr>
          <w:rFonts w:ascii="QCF2BSML" w:eastAsiaTheme="minorHAnsi" w:hAnsi="QCF2BSML" w:cs="QCF2BSML"/>
          <w:color w:val="000000"/>
          <w:kern w:val="0"/>
          <w:sz w:val="26"/>
          <w:szCs w:val="26"/>
          <w:rtl/>
        </w:rPr>
        <w:t>ﱴ</w:t>
      </w:r>
      <w:r w:rsidR="004674A3">
        <w:rPr>
          <w:rFonts w:eastAsiaTheme="minorHAnsi" w:hint="cs"/>
          <w:kern w:val="0"/>
          <w:rtl/>
        </w:rPr>
        <w:t xml:space="preserve"> [الآية رقم: 195، سورة البقرة] وفي قوله سبحاته: </w:t>
      </w:r>
      <w:r w:rsidR="004674A3">
        <w:rPr>
          <w:rFonts w:ascii="QCF2BSML" w:eastAsiaTheme="minorHAnsi" w:hAnsi="QCF2BSML" w:cs="QCF2BSML"/>
          <w:color w:val="000000"/>
          <w:kern w:val="0"/>
          <w:sz w:val="26"/>
          <w:szCs w:val="26"/>
          <w:rtl/>
        </w:rPr>
        <w:t>ﱵﭐ</w:t>
      </w:r>
      <w:r w:rsidR="004674A3">
        <w:rPr>
          <w:rFonts w:ascii="QCF2557" w:eastAsiaTheme="minorHAnsi" w:hAnsi="QCF2557" w:cs="QCF2557"/>
          <w:color w:val="000000"/>
          <w:kern w:val="0"/>
          <w:sz w:val="2"/>
          <w:szCs w:val="2"/>
          <w:rtl/>
        </w:rPr>
        <w:t xml:space="preserve"> </w:t>
      </w:r>
      <w:r w:rsidR="004674A3">
        <w:rPr>
          <w:rFonts w:ascii="QCF2557" w:eastAsiaTheme="minorHAnsi" w:hAnsi="QCF2557" w:cs="QCF2557"/>
          <w:color w:val="000000"/>
          <w:kern w:val="0"/>
          <w:sz w:val="26"/>
          <w:szCs w:val="26"/>
          <w:rtl/>
        </w:rPr>
        <w:t>ﲝ</w:t>
      </w:r>
      <w:r w:rsidR="004674A3">
        <w:rPr>
          <w:rFonts w:ascii="QCF2557" w:eastAsiaTheme="minorHAnsi" w:hAnsi="QCF2557" w:cs="QCF2557"/>
          <w:color w:val="000000"/>
          <w:kern w:val="0"/>
          <w:sz w:val="2"/>
          <w:szCs w:val="2"/>
          <w:rtl/>
        </w:rPr>
        <w:t xml:space="preserve"> </w:t>
      </w:r>
      <w:r w:rsidR="004674A3">
        <w:rPr>
          <w:rFonts w:ascii="QCF2557" w:eastAsiaTheme="minorHAnsi" w:hAnsi="QCF2557" w:cs="QCF2557"/>
          <w:color w:val="000000"/>
          <w:kern w:val="0"/>
          <w:sz w:val="26"/>
          <w:szCs w:val="26"/>
          <w:rtl/>
        </w:rPr>
        <w:t>ﲞ</w:t>
      </w:r>
      <w:r w:rsidR="004674A3">
        <w:rPr>
          <w:rFonts w:ascii="QCF2557" w:eastAsiaTheme="minorHAnsi" w:hAnsi="QCF2557" w:cs="QCF2557"/>
          <w:color w:val="000000"/>
          <w:kern w:val="0"/>
          <w:sz w:val="2"/>
          <w:szCs w:val="2"/>
          <w:rtl/>
        </w:rPr>
        <w:t xml:space="preserve"> </w:t>
      </w:r>
      <w:r w:rsidR="004674A3">
        <w:rPr>
          <w:rFonts w:ascii="QCF2557" w:eastAsiaTheme="minorHAnsi" w:hAnsi="QCF2557" w:cs="QCF2557"/>
          <w:color w:val="000000"/>
          <w:kern w:val="0"/>
          <w:sz w:val="26"/>
          <w:szCs w:val="26"/>
          <w:rtl/>
        </w:rPr>
        <w:t>ﲟﲠ</w:t>
      </w:r>
      <w:r w:rsidR="004674A3">
        <w:rPr>
          <w:rFonts w:ascii="QCF2557" w:eastAsiaTheme="minorHAnsi" w:hAnsi="QCF2557" w:cs="QCF2557"/>
          <w:color w:val="000000"/>
          <w:kern w:val="0"/>
          <w:sz w:val="2"/>
          <w:szCs w:val="2"/>
          <w:rtl/>
        </w:rPr>
        <w:t xml:space="preserve"> </w:t>
      </w:r>
      <w:r w:rsidR="004674A3">
        <w:rPr>
          <w:rFonts w:ascii="QCF2BSML" w:eastAsiaTheme="minorHAnsi" w:hAnsi="QCF2BSML" w:cs="QCF2BSML"/>
          <w:color w:val="000000"/>
          <w:kern w:val="0"/>
          <w:sz w:val="26"/>
          <w:szCs w:val="26"/>
          <w:rtl/>
        </w:rPr>
        <w:t>ﱴ</w:t>
      </w:r>
      <w:r w:rsidR="004674A3">
        <w:rPr>
          <w:rFonts w:eastAsiaTheme="minorHAnsi" w:hint="cs"/>
          <w:kern w:val="0"/>
          <w:rtl/>
        </w:rPr>
        <w:t xml:space="preserve"> [الآية رقم 16، سورة التغابن]، وهو كذلك امتثال للعمل بقوله </w:t>
      </w:r>
      <w:r w:rsidR="004674A3">
        <w:rPr>
          <w:rFonts w:eastAsiaTheme="minorHAnsi"/>
          <w:kern w:val="0"/>
        </w:rPr>
        <w:sym w:font="AGA Arabesque" w:char="F072"/>
      </w:r>
      <w:r w:rsidR="004674A3">
        <w:rPr>
          <w:rFonts w:eastAsiaTheme="minorHAnsi" w:hint="cs"/>
          <w:kern w:val="0"/>
          <w:rtl/>
        </w:rPr>
        <w:t xml:space="preserve">: </w:t>
      </w:r>
      <w:r w:rsidR="004674A3">
        <w:rPr>
          <w:rFonts w:eastAsiaTheme="minorHAnsi"/>
          <w:kern w:val="0"/>
          <w:rtl/>
        </w:rPr>
        <w:t>«</w:t>
      </w:r>
      <w:r w:rsidR="004674A3">
        <w:rPr>
          <w:rFonts w:eastAsiaTheme="minorHAnsi" w:hint="cs"/>
          <w:kern w:val="0"/>
          <w:rtl/>
        </w:rPr>
        <w:t>أبدأ بنفسك فتصدق عليها</w:t>
      </w:r>
      <w:r w:rsidR="004674A3">
        <w:rPr>
          <w:rFonts w:eastAsiaTheme="minorHAnsi"/>
          <w:kern w:val="0"/>
          <w:rtl/>
        </w:rPr>
        <w:t>»</w:t>
      </w:r>
      <w:r w:rsidR="004674A3">
        <w:rPr>
          <w:rFonts w:eastAsiaTheme="minorHAnsi" w:hint="cs"/>
          <w:kern w:val="0"/>
          <w:rtl/>
        </w:rPr>
        <w:t xml:space="preserve"> وقوله عليه الصلاة والسلام: </w:t>
      </w:r>
      <w:r w:rsidR="004674A3">
        <w:rPr>
          <w:rFonts w:eastAsiaTheme="minorHAnsi"/>
          <w:kern w:val="0"/>
          <w:rtl/>
        </w:rPr>
        <w:t>«</w:t>
      </w:r>
      <w:r w:rsidR="004674A3">
        <w:rPr>
          <w:rFonts w:eastAsiaTheme="minorHAnsi" w:hint="cs"/>
          <w:kern w:val="0"/>
          <w:rtl/>
        </w:rPr>
        <w:t>تصدق به على نفسك</w:t>
      </w:r>
      <w:r w:rsidR="004674A3">
        <w:rPr>
          <w:rFonts w:eastAsiaTheme="minorHAnsi"/>
          <w:kern w:val="0"/>
          <w:rtl/>
        </w:rPr>
        <w:t>»</w:t>
      </w:r>
      <w:r w:rsidR="004674A3">
        <w:rPr>
          <w:rFonts w:eastAsiaTheme="minorHAnsi" w:hint="cs"/>
          <w:kern w:val="0"/>
          <w:rtl/>
        </w:rPr>
        <w:t>.</w:t>
      </w:r>
    </w:p>
    <w:p w14:paraId="5DC03A10" w14:textId="73811AEB" w:rsidR="004674A3" w:rsidRDefault="004674A3" w:rsidP="0075722B">
      <w:pPr>
        <w:rPr>
          <w:rFonts w:eastAsiaTheme="minorHAnsi"/>
          <w:kern w:val="0"/>
        </w:rPr>
      </w:pPr>
      <w:r>
        <w:rPr>
          <w:rFonts w:eastAsiaTheme="minorHAnsi" w:hint="cs"/>
          <w:kern w:val="0"/>
          <w:rtl/>
        </w:rPr>
        <w:t xml:space="preserve">ومن المعلوم بالضرورة أن العبادة بالامتثال، وأن المعصية تقد بردّ الأمر على الآمر سبحانه وتعالى، ولا مانع إطلاقًا أن تنطوي العبادة على </w:t>
      </w:r>
      <w:r w:rsidRPr="004674A3">
        <w:rPr>
          <w:rFonts w:eastAsiaTheme="minorHAnsi" w:hint="cs"/>
          <w:kern w:val="0"/>
          <w:rtl/>
        </w:rPr>
        <w:t>حظ</w:t>
      </w:r>
      <w:r>
        <w:rPr>
          <w:rFonts w:eastAsiaTheme="minorHAnsi" w:hint="cs"/>
          <w:kern w:val="0"/>
          <w:rtl/>
        </w:rPr>
        <w:t xml:space="preserve"> للنفس منها، فالصلاة فيها حظ للنفس يتمثل في طمأنينة القلب وسكينته، فقد كان رسول الله </w:t>
      </w:r>
      <w:r>
        <w:rPr>
          <w:rFonts w:eastAsiaTheme="minorHAnsi"/>
          <w:kern w:val="0"/>
        </w:rPr>
        <w:sym w:font="AGA Arabesque" w:char="F072"/>
      </w:r>
      <w:r>
        <w:rPr>
          <w:rFonts w:eastAsiaTheme="minorHAnsi" w:hint="cs"/>
          <w:kern w:val="0"/>
          <w:rtl/>
        </w:rPr>
        <w:t xml:space="preserve"> إذا حز به أمر </w:t>
      </w:r>
      <w:r>
        <w:rPr>
          <w:rFonts w:eastAsiaTheme="minorHAnsi" w:hint="cs"/>
          <w:kern w:val="0"/>
          <w:rtl/>
        </w:rPr>
        <w:lastRenderedPageBreak/>
        <w:t xml:space="preserve">يقول: أرحنا يا بلال أيّ أذّن للصلاة يا بلال، والزكاة فيها حظ للنفس فإنها طهرة للنفس والمال، والصيام والحج، بل وجميع مكارم الأخلاق فيها حظ للنفس، وبناءً عليه: فإننا لا نسلّم بدليل المنع الذي يقول: إن الوقف إخراج للمال إلى الله تعالى وجعله خالصًا له وشرط الواقف لانتفاع بمال الوقف يمنع الإخلاص، فيمنع جواز الوقف، فإن الله تعالى ولا رسوله </w:t>
      </w:r>
      <w:r>
        <w:rPr>
          <w:rFonts w:eastAsiaTheme="minorHAnsi"/>
          <w:kern w:val="0"/>
        </w:rPr>
        <w:sym w:font="AGA Arabesque" w:char="F072"/>
      </w:r>
      <w:r>
        <w:rPr>
          <w:rFonts w:eastAsiaTheme="minorHAnsi" w:hint="cs"/>
          <w:kern w:val="0"/>
          <w:rtl/>
        </w:rPr>
        <w:t xml:space="preserve"> يأمر بتجريد العبادات من حظ النفس ولم ينه المتمثل لأداء العبادة عن قصد حظ نفسه منها، وفي هذا دلالة على أن قصد حظ النفس من العبادة لا ينافي أصل العبادة ولا ينفس الإخلاص عن المتمثل أو يحلق به التشريك لله في العبادة.</w:t>
      </w:r>
    </w:p>
    <w:p w14:paraId="70591565" w14:textId="0EA9B7D2" w:rsidR="00A501D6" w:rsidRDefault="00A501D6" w:rsidP="0075722B">
      <w:pPr>
        <w:rPr>
          <w:rFonts w:eastAsiaTheme="minorHAnsi"/>
          <w:kern w:val="0"/>
          <w:rtl/>
        </w:rPr>
      </w:pPr>
      <w:r>
        <w:rPr>
          <w:rFonts w:eastAsiaTheme="minorHAnsi" w:hint="cs"/>
          <w:kern w:val="0"/>
          <w:rtl/>
          <w:lang w:bidi="ar-EG"/>
        </w:rPr>
        <w:t>وقد صرح القرآن الكريم في كثير من الآيات بأن من عمل عملًا جوزى به، وهذا بلا شك ربط للعمل بحظ النفس منه ومن ذلك قوله تعالى:</w:t>
      </w:r>
      <w:r w:rsidR="006B16DD">
        <w:rPr>
          <w:rFonts w:ascii="QCF2BSML" w:eastAsiaTheme="minorHAnsi" w:hAnsi="QCF2BSML" w:cs="QCF2BSML"/>
          <w:color w:val="000000"/>
          <w:kern w:val="0"/>
          <w:sz w:val="26"/>
          <w:szCs w:val="26"/>
          <w:rtl/>
        </w:rPr>
        <w:t>ﭐﱡﭐ</w:t>
      </w:r>
      <w:r w:rsidR="006B16DD">
        <w:rPr>
          <w:rFonts w:ascii="QCF2481" w:eastAsiaTheme="minorHAnsi" w:hAnsi="QCF2481" w:cs="QCF2481"/>
          <w:color w:val="000000"/>
          <w:kern w:val="0"/>
          <w:sz w:val="2"/>
          <w:szCs w:val="2"/>
          <w:rtl/>
        </w:rPr>
        <w:t xml:space="preserve"> </w:t>
      </w:r>
      <w:r w:rsidR="006B16DD">
        <w:rPr>
          <w:rFonts w:ascii="QCF2481" w:eastAsiaTheme="minorHAnsi" w:hAnsi="QCF2481" w:cs="QCF2481"/>
          <w:color w:val="000000"/>
          <w:kern w:val="0"/>
          <w:sz w:val="26"/>
          <w:szCs w:val="26"/>
          <w:rtl/>
        </w:rPr>
        <w:t>ﳜ</w:t>
      </w:r>
      <w:r w:rsidR="006B16DD">
        <w:rPr>
          <w:rFonts w:ascii="QCF2481" w:eastAsiaTheme="minorHAnsi" w:hAnsi="QCF2481" w:cs="QCF2481"/>
          <w:color w:val="000000"/>
          <w:kern w:val="0"/>
          <w:sz w:val="2"/>
          <w:szCs w:val="2"/>
          <w:rtl/>
        </w:rPr>
        <w:t xml:space="preserve"> </w:t>
      </w:r>
      <w:r w:rsidR="006B16DD">
        <w:rPr>
          <w:rFonts w:ascii="QCF2481" w:eastAsiaTheme="minorHAnsi" w:hAnsi="QCF2481" w:cs="QCF2481"/>
          <w:color w:val="000000"/>
          <w:kern w:val="0"/>
          <w:sz w:val="26"/>
          <w:szCs w:val="26"/>
          <w:rtl/>
        </w:rPr>
        <w:t>ﳝ</w:t>
      </w:r>
      <w:r w:rsidR="006B16DD">
        <w:rPr>
          <w:rFonts w:ascii="QCF2481" w:eastAsiaTheme="minorHAnsi" w:hAnsi="QCF2481" w:cs="QCF2481"/>
          <w:color w:val="000000"/>
          <w:kern w:val="0"/>
          <w:sz w:val="2"/>
          <w:szCs w:val="2"/>
          <w:rtl/>
        </w:rPr>
        <w:t xml:space="preserve"> </w:t>
      </w:r>
      <w:r w:rsidR="006B16DD">
        <w:rPr>
          <w:rFonts w:ascii="QCF2481" w:eastAsiaTheme="minorHAnsi" w:hAnsi="QCF2481" w:cs="QCF2481"/>
          <w:color w:val="000000"/>
          <w:kern w:val="0"/>
          <w:sz w:val="26"/>
          <w:szCs w:val="26"/>
          <w:rtl/>
        </w:rPr>
        <w:t>ﳞ</w:t>
      </w:r>
      <w:r w:rsidR="006B16DD">
        <w:rPr>
          <w:rFonts w:ascii="QCF2481" w:eastAsiaTheme="minorHAnsi" w:hAnsi="QCF2481" w:cs="QCF2481"/>
          <w:color w:val="000000"/>
          <w:kern w:val="0"/>
          <w:sz w:val="2"/>
          <w:szCs w:val="2"/>
          <w:rtl/>
        </w:rPr>
        <w:t xml:space="preserve">  </w:t>
      </w:r>
      <w:r w:rsidR="006B16DD">
        <w:rPr>
          <w:rFonts w:ascii="QCF2481" w:eastAsiaTheme="minorHAnsi" w:hAnsi="QCF2481" w:cs="QCF2481"/>
          <w:color w:val="000000"/>
          <w:kern w:val="0"/>
          <w:sz w:val="26"/>
          <w:szCs w:val="26"/>
          <w:rtl/>
        </w:rPr>
        <w:t>ﳟﳠ</w:t>
      </w:r>
      <w:r w:rsidR="006B16DD">
        <w:rPr>
          <w:rFonts w:ascii="QCF2481" w:eastAsiaTheme="minorHAnsi" w:hAnsi="QCF2481" w:cs="QCF2481"/>
          <w:color w:val="000000"/>
          <w:kern w:val="0"/>
          <w:sz w:val="2"/>
          <w:szCs w:val="2"/>
          <w:rtl/>
        </w:rPr>
        <w:t xml:space="preserve"> </w:t>
      </w:r>
      <w:r w:rsidR="006B16DD">
        <w:rPr>
          <w:rFonts w:ascii="QCF2481" w:eastAsiaTheme="minorHAnsi" w:hAnsi="QCF2481" w:cs="QCF2481"/>
          <w:color w:val="000000"/>
          <w:kern w:val="0"/>
          <w:sz w:val="26"/>
          <w:szCs w:val="26"/>
          <w:rtl/>
        </w:rPr>
        <w:t>ﳡ</w:t>
      </w:r>
      <w:r w:rsidR="006B16DD">
        <w:rPr>
          <w:rFonts w:ascii="QCF2481" w:eastAsiaTheme="minorHAnsi" w:hAnsi="QCF2481" w:cs="QCF2481"/>
          <w:color w:val="000000"/>
          <w:kern w:val="0"/>
          <w:sz w:val="2"/>
          <w:szCs w:val="2"/>
          <w:rtl/>
        </w:rPr>
        <w:t xml:space="preserve"> </w:t>
      </w:r>
      <w:r w:rsidR="006B16DD">
        <w:rPr>
          <w:rFonts w:ascii="QCF2481" w:eastAsiaTheme="minorHAnsi" w:hAnsi="QCF2481" w:cs="QCF2481"/>
          <w:color w:val="000000"/>
          <w:kern w:val="0"/>
          <w:sz w:val="26"/>
          <w:szCs w:val="26"/>
          <w:rtl/>
        </w:rPr>
        <w:t>ﳢ</w:t>
      </w:r>
      <w:r w:rsidR="006B16DD">
        <w:rPr>
          <w:rFonts w:ascii="QCF2481" w:eastAsiaTheme="minorHAnsi" w:hAnsi="QCF2481" w:cs="QCF2481"/>
          <w:color w:val="000000"/>
          <w:kern w:val="0"/>
          <w:sz w:val="2"/>
          <w:szCs w:val="2"/>
          <w:rtl/>
        </w:rPr>
        <w:t xml:space="preserve"> </w:t>
      </w:r>
      <w:r w:rsidR="006B16DD">
        <w:rPr>
          <w:rFonts w:ascii="QCF2481" w:eastAsiaTheme="minorHAnsi" w:hAnsi="QCF2481" w:cs="QCF2481"/>
          <w:color w:val="000000"/>
          <w:kern w:val="0"/>
          <w:sz w:val="26"/>
          <w:szCs w:val="26"/>
          <w:rtl/>
        </w:rPr>
        <w:t>ﳣﳤ</w:t>
      </w:r>
      <w:r w:rsidR="006B16DD">
        <w:rPr>
          <w:rFonts w:ascii="QCF2481" w:eastAsiaTheme="minorHAnsi" w:hAnsi="QCF2481" w:cs="QCF2481"/>
          <w:color w:val="000000"/>
          <w:kern w:val="0"/>
          <w:sz w:val="2"/>
          <w:szCs w:val="2"/>
          <w:rtl/>
        </w:rPr>
        <w:t xml:space="preserve"> </w:t>
      </w:r>
      <w:r w:rsidR="006B16DD">
        <w:rPr>
          <w:rFonts w:ascii="QCF2BSML" w:eastAsiaTheme="minorHAnsi" w:hAnsi="QCF2BSML" w:cs="QCF2BSML"/>
          <w:color w:val="000000"/>
          <w:kern w:val="0"/>
          <w:sz w:val="26"/>
          <w:szCs w:val="26"/>
          <w:rtl/>
        </w:rPr>
        <w:t>ﱠ</w:t>
      </w:r>
      <w:r w:rsidR="006B16DD">
        <w:rPr>
          <w:rFonts w:eastAsiaTheme="minorHAnsi" w:hint="cs"/>
          <w:kern w:val="0"/>
          <w:rtl/>
        </w:rPr>
        <w:t xml:space="preserve"> [الآية رقم: 46، سورة فصلت].</w:t>
      </w:r>
    </w:p>
    <w:p w14:paraId="603007AB" w14:textId="353CF2C4" w:rsidR="006B16DD" w:rsidRDefault="006B16DD" w:rsidP="0075722B">
      <w:pPr>
        <w:rPr>
          <w:rFonts w:eastAsiaTheme="minorHAnsi"/>
          <w:kern w:val="0"/>
          <w:rtl/>
        </w:rPr>
      </w:pPr>
      <w:r>
        <w:rPr>
          <w:rFonts w:eastAsiaTheme="minorHAnsi" w:hint="cs"/>
          <w:kern w:val="0"/>
          <w:rtl/>
        </w:rPr>
        <w:t>الدليل الخامس عشر: تقدم أن الوقف عبادة معقولة المعنى، وليس حقًا خالصًا لله، أي أنه ليس تعّبدًا راجعًا إلى عدم معقولية المعنى، بحيث يكون قصد الشارع فيه الوقوف عند ما حدّه الله وعدم تعدّيه، وإلا كان هذا التعدّي مخالفًا لقصد الشارع ومبطلًا للعمل.</w:t>
      </w:r>
    </w:p>
    <w:p w14:paraId="173F9018" w14:textId="3028C856" w:rsidR="00B3281F" w:rsidRDefault="006B16DD" w:rsidP="0075722B">
      <w:pPr>
        <w:rPr>
          <w:rFonts w:eastAsiaTheme="minorHAnsi"/>
          <w:kern w:val="0"/>
          <w:rtl/>
        </w:rPr>
      </w:pPr>
      <w:r>
        <w:rPr>
          <w:rFonts w:eastAsiaTheme="minorHAnsi" w:hint="cs"/>
          <w:kern w:val="0"/>
          <w:rtl/>
        </w:rPr>
        <w:t xml:space="preserve">ولمّا كان الوقف عبادة معقولة المعنى، فإنه بذلك يتضمن حقان، حق لله تعالى وحق للواقف، وحق الواقف فيه أغلب لأن الوقف عبادة دنيوية، ولأن الشريعة وضعت لمصالح العباد، وفي الوقف على النفس تحقيق لمصالح المواقف الدنيوية، وعدم مخالفة لمقتضى أمر أو نهي صريح، وفيه كذلك امتثال لأوامر الشارع بالإنفاق في سبيل الله والبدء فيه بالنفس، وما حظ الواقف منه إلا أثر للتمتع بنعمة الله على الواقف أن رزقه بالمال ليتمتع به ويشكر الله عليه والصرف منه في مرضاة المنعم سبحانه، فلا يجوز منعه، لأن في منعه تحريم لما أحلّه الله من الطيبات وقد قال تعالى: </w:t>
      </w:r>
      <w:r w:rsidR="00B3281F">
        <w:rPr>
          <w:rFonts w:ascii="QCF2BSML" w:eastAsiaTheme="minorHAnsi" w:hAnsi="QCF2BSML" w:cs="QCF2BSML"/>
          <w:color w:val="000000"/>
          <w:kern w:val="0"/>
          <w:sz w:val="26"/>
          <w:szCs w:val="26"/>
          <w:rtl/>
        </w:rPr>
        <w:t>ﱡﭐ</w:t>
      </w:r>
      <w:r w:rsidR="00B3281F">
        <w:rPr>
          <w:rFonts w:ascii="QCF2122" w:eastAsiaTheme="minorHAnsi" w:hAnsi="QCF2122" w:cs="QCF2122"/>
          <w:color w:val="000000"/>
          <w:kern w:val="0"/>
          <w:sz w:val="2"/>
          <w:szCs w:val="2"/>
          <w:rtl/>
        </w:rPr>
        <w:t xml:space="preserve"> </w:t>
      </w:r>
      <w:r w:rsidR="00B3281F">
        <w:rPr>
          <w:rFonts w:ascii="QCF2122" w:eastAsiaTheme="minorHAnsi" w:hAnsi="QCF2122" w:cs="QCF2122"/>
          <w:color w:val="000000"/>
          <w:kern w:val="0"/>
          <w:sz w:val="26"/>
          <w:szCs w:val="26"/>
          <w:rtl/>
        </w:rPr>
        <w:t>ﱪ</w:t>
      </w:r>
      <w:r w:rsidR="00B3281F">
        <w:rPr>
          <w:rFonts w:ascii="QCF2122" w:eastAsiaTheme="minorHAnsi" w:hAnsi="QCF2122" w:cs="QCF2122"/>
          <w:color w:val="000000"/>
          <w:kern w:val="0"/>
          <w:sz w:val="2"/>
          <w:szCs w:val="2"/>
          <w:rtl/>
        </w:rPr>
        <w:t xml:space="preserve"> </w:t>
      </w:r>
      <w:r w:rsidR="00B3281F">
        <w:rPr>
          <w:rFonts w:ascii="QCF2122" w:eastAsiaTheme="minorHAnsi" w:hAnsi="QCF2122" w:cs="QCF2122"/>
          <w:color w:val="000000"/>
          <w:kern w:val="0"/>
          <w:sz w:val="26"/>
          <w:szCs w:val="26"/>
          <w:rtl/>
        </w:rPr>
        <w:t>ﱫ</w:t>
      </w:r>
      <w:r w:rsidR="00B3281F">
        <w:rPr>
          <w:rFonts w:ascii="QCF2122" w:eastAsiaTheme="minorHAnsi" w:hAnsi="QCF2122" w:cs="QCF2122"/>
          <w:color w:val="000000"/>
          <w:kern w:val="0"/>
          <w:sz w:val="2"/>
          <w:szCs w:val="2"/>
          <w:rtl/>
        </w:rPr>
        <w:t xml:space="preserve"> </w:t>
      </w:r>
      <w:r w:rsidR="00B3281F">
        <w:rPr>
          <w:rFonts w:ascii="QCF2122" w:eastAsiaTheme="minorHAnsi" w:hAnsi="QCF2122" w:cs="QCF2122"/>
          <w:color w:val="000000"/>
          <w:kern w:val="0"/>
          <w:sz w:val="26"/>
          <w:szCs w:val="26"/>
          <w:rtl/>
        </w:rPr>
        <w:t>ﱬ</w:t>
      </w:r>
      <w:r w:rsidR="00B3281F">
        <w:rPr>
          <w:rFonts w:ascii="QCF2122" w:eastAsiaTheme="minorHAnsi" w:hAnsi="QCF2122" w:cs="QCF2122"/>
          <w:color w:val="000000"/>
          <w:kern w:val="0"/>
          <w:sz w:val="2"/>
          <w:szCs w:val="2"/>
          <w:rtl/>
        </w:rPr>
        <w:t xml:space="preserve">  </w:t>
      </w:r>
      <w:r w:rsidR="00B3281F">
        <w:rPr>
          <w:rFonts w:ascii="QCF2122" w:eastAsiaTheme="minorHAnsi" w:hAnsi="QCF2122" w:cs="QCF2122"/>
          <w:color w:val="000000"/>
          <w:kern w:val="0"/>
          <w:sz w:val="26"/>
          <w:szCs w:val="26"/>
          <w:rtl/>
        </w:rPr>
        <w:t>ﱭ</w:t>
      </w:r>
      <w:r w:rsidR="00B3281F">
        <w:rPr>
          <w:rFonts w:ascii="QCF2122" w:eastAsiaTheme="minorHAnsi" w:hAnsi="QCF2122" w:cs="QCF2122"/>
          <w:color w:val="000000"/>
          <w:kern w:val="0"/>
          <w:sz w:val="2"/>
          <w:szCs w:val="2"/>
          <w:rtl/>
        </w:rPr>
        <w:t xml:space="preserve"> </w:t>
      </w:r>
      <w:r w:rsidR="00B3281F">
        <w:rPr>
          <w:rFonts w:ascii="QCF2122" w:eastAsiaTheme="minorHAnsi" w:hAnsi="QCF2122" w:cs="QCF2122"/>
          <w:color w:val="000000"/>
          <w:kern w:val="0"/>
          <w:sz w:val="26"/>
          <w:szCs w:val="26"/>
          <w:rtl/>
        </w:rPr>
        <w:t>ﱮ</w:t>
      </w:r>
      <w:r w:rsidR="00B3281F">
        <w:rPr>
          <w:rFonts w:ascii="QCF2122" w:eastAsiaTheme="minorHAnsi" w:hAnsi="QCF2122" w:cs="QCF2122"/>
          <w:color w:val="000000"/>
          <w:kern w:val="0"/>
          <w:sz w:val="2"/>
          <w:szCs w:val="2"/>
          <w:rtl/>
        </w:rPr>
        <w:t xml:space="preserve"> </w:t>
      </w:r>
      <w:r w:rsidR="00B3281F">
        <w:rPr>
          <w:rFonts w:ascii="QCF2122" w:eastAsiaTheme="minorHAnsi" w:hAnsi="QCF2122" w:cs="QCF2122"/>
          <w:color w:val="000000"/>
          <w:kern w:val="0"/>
          <w:sz w:val="26"/>
          <w:szCs w:val="26"/>
          <w:rtl/>
        </w:rPr>
        <w:t>ﱯ</w:t>
      </w:r>
      <w:r w:rsidR="00B3281F">
        <w:rPr>
          <w:rFonts w:ascii="QCF2122" w:eastAsiaTheme="minorHAnsi" w:hAnsi="QCF2122" w:cs="QCF2122"/>
          <w:color w:val="000000"/>
          <w:kern w:val="0"/>
          <w:sz w:val="2"/>
          <w:szCs w:val="2"/>
          <w:rtl/>
        </w:rPr>
        <w:t xml:space="preserve"> </w:t>
      </w:r>
      <w:r w:rsidR="00B3281F">
        <w:rPr>
          <w:rFonts w:ascii="QCF2122" w:eastAsiaTheme="minorHAnsi" w:hAnsi="QCF2122" w:cs="QCF2122"/>
          <w:color w:val="000000"/>
          <w:kern w:val="0"/>
          <w:sz w:val="26"/>
          <w:szCs w:val="26"/>
          <w:rtl/>
        </w:rPr>
        <w:t>ﱰ</w:t>
      </w:r>
      <w:r w:rsidR="00B3281F">
        <w:rPr>
          <w:rFonts w:ascii="QCF2122" w:eastAsiaTheme="minorHAnsi" w:hAnsi="QCF2122" w:cs="QCF2122"/>
          <w:color w:val="000000"/>
          <w:kern w:val="0"/>
          <w:sz w:val="2"/>
          <w:szCs w:val="2"/>
          <w:rtl/>
        </w:rPr>
        <w:t xml:space="preserve"> </w:t>
      </w:r>
      <w:r w:rsidR="00B3281F">
        <w:rPr>
          <w:rFonts w:ascii="QCF2122" w:eastAsiaTheme="minorHAnsi" w:hAnsi="QCF2122" w:cs="QCF2122"/>
          <w:color w:val="000000"/>
          <w:kern w:val="0"/>
          <w:sz w:val="26"/>
          <w:szCs w:val="26"/>
          <w:rtl/>
        </w:rPr>
        <w:t>ﱱ</w:t>
      </w:r>
      <w:r w:rsidR="00B3281F">
        <w:rPr>
          <w:rFonts w:ascii="QCF2122" w:eastAsiaTheme="minorHAnsi" w:hAnsi="QCF2122" w:cs="QCF2122"/>
          <w:color w:val="000000"/>
          <w:kern w:val="0"/>
          <w:sz w:val="2"/>
          <w:szCs w:val="2"/>
          <w:rtl/>
        </w:rPr>
        <w:t xml:space="preserve"> </w:t>
      </w:r>
      <w:r w:rsidR="00B3281F">
        <w:rPr>
          <w:rFonts w:ascii="QCF2122" w:eastAsiaTheme="minorHAnsi" w:hAnsi="QCF2122" w:cs="QCF2122"/>
          <w:color w:val="000000"/>
          <w:kern w:val="0"/>
          <w:sz w:val="26"/>
          <w:szCs w:val="26"/>
          <w:rtl/>
        </w:rPr>
        <w:t>ﱲ</w:t>
      </w:r>
      <w:r w:rsidR="00B3281F">
        <w:rPr>
          <w:rFonts w:ascii="QCF2122" w:eastAsiaTheme="minorHAnsi" w:hAnsi="QCF2122" w:cs="QCF2122"/>
          <w:color w:val="000000"/>
          <w:kern w:val="0"/>
          <w:sz w:val="2"/>
          <w:szCs w:val="2"/>
          <w:rtl/>
        </w:rPr>
        <w:t xml:space="preserve"> </w:t>
      </w:r>
      <w:r w:rsidR="00B3281F">
        <w:rPr>
          <w:rFonts w:ascii="QCF2122" w:eastAsiaTheme="minorHAnsi" w:hAnsi="QCF2122" w:cs="QCF2122"/>
          <w:color w:val="000000"/>
          <w:kern w:val="0"/>
          <w:sz w:val="26"/>
          <w:szCs w:val="26"/>
          <w:rtl/>
        </w:rPr>
        <w:t>ﱳ</w:t>
      </w:r>
      <w:r w:rsidR="00B3281F">
        <w:rPr>
          <w:rFonts w:ascii="QCF2122" w:eastAsiaTheme="minorHAnsi" w:hAnsi="QCF2122" w:cs="QCF2122"/>
          <w:color w:val="000000"/>
          <w:kern w:val="0"/>
          <w:sz w:val="2"/>
          <w:szCs w:val="2"/>
          <w:rtl/>
        </w:rPr>
        <w:t xml:space="preserve"> </w:t>
      </w:r>
      <w:r w:rsidR="00B3281F">
        <w:rPr>
          <w:rFonts w:ascii="QCF2BSML" w:eastAsiaTheme="minorHAnsi" w:hAnsi="QCF2BSML" w:cs="QCF2BSML"/>
          <w:color w:val="000000"/>
          <w:kern w:val="0"/>
          <w:sz w:val="26"/>
          <w:szCs w:val="26"/>
          <w:rtl/>
        </w:rPr>
        <w:t>ﱠ</w:t>
      </w:r>
      <w:r w:rsidR="00B3281F">
        <w:rPr>
          <w:rFonts w:eastAsiaTheme="minorHAnsi" w:hint="cs"/>
          <w:kern w:val="0"/>
          <w:rtl/>
        </w:rPr>
        <w:t xml:space="preserve"> [الآية رقم: 87، سورة المائدة].</w:t>
      </w:r>
    </w:p>
    <w:p w14:paraId="279A4C22" w14:textId="77777777" w:rsidR="00B3281F" w:rsidRDefault="00B3281F">
      <w:pPr>
        <w:spacing w:before="0" w:after="120" w:line="240" w:lineRule="auto"/>
        <w:ind w:firstLine="0"/>
        <w:jc w:val="left"/>
        <w:rPr>
          <w:rFonts w:eastAsiaTheme="minorHAnsi"/>
          <w:kern w:val="0"/>
          <w:rtl/>
        </w:rPr>
      </w:pPr>
      <w:r>
        <w:rPr>
          <w:rFonts w:eastAsiaTheme="minorHAnsi"/>
          <w:kern w:val="0"/>
          <w:rtl/>
        </w:rPr>
        <w:br w:type="page"/>
      </w:r>
    </w:p>
    <w:p w14:paraId="568B1170" w14:textId="4774FAE2" w:rsidR="006B16DD" w:rsidRDefault="00B3281F" w:rsidP="00B3281F">
      <w:pPr>
        <w:pStyle w:val="Heading1"/>
        <w:rPr>
          <w:rtl/>
        </w:rPr>
      </w:pPr>
      <w:r>
        <w:rPr>
          <w:rFonts w:hint="cs"/>
          <w:rtl/>
        </w:rPr>
        <w:lastRenderedPageBreak/>
        <w:t>القضيـــة الثانيـــة</w:t>
      </w:r>
      <w:r>
        <w:rPr>
          <w:rtl/>
        </w:rPr>
        <w:br/>
      </w:r>
      <w:r>
        <w:rPr>
          <w:rFonts w:hint="cs"/>
          <w:rtl/>
        </w:rPr>
        <w:t>استثنــاء منافــع المــال الموقـــوف لصالـــح الواقـــف</w:t>
      </w:r>
      <w:r>
        <w:rPr>
          <w:rtl/>
        </w:rPr>
        <w:br/>
      </w:r>
      <w:r>
        <w:rPr>
          <w:rFonts w:hint="cs"/>
          <w:rtl/>
        </w:rPr>
        <w:t>والأدلـــة على صحتـــه وجـــوازه</w:t>
      </w:r>
    </w:p>
    <w:p w14:paraId="6642454B" w14:textId="503589B8" w:rsidR="00B3281F" w:rsidRDefault="00B3281F" w:rsidP="00B3281F">
      <w:pPr>
        <w:spacing w:before="0"/>
        <w:rPr>
          <w:rtl/>
        </w:rPr>
      </w:pPr>
      <w:r>
        <w:rPr>
          <w:rFonts w:hint="cs"/>
          <w:rtl/>
        </w:rPr>
        <w:t>تتلخص صورة البحث في هذه القضية في أن يقول الواقف في وثيقة إنشاء وقفه: وقفت هذا المال على صندوق الاستثمار الصحي لاستثماره والإنفاق من أرباح استثماره على مركز أبحاث الفيروسات المستجدة أو على علاج مرضى السرطان أو مرضى الكبد الوبائي، على أن يكون لي نصف أو ربع الأرباح السنوية ما تبقّى لي من حياتي، أو لمدة خمس سنوات مثلًا.</w:t>
      </w:r>
    </w:p>
    <w:p w14:paraId="33A3AEDD" w14:textId="7089FE55" w:rsidR="00B3281F" w:rsidRDefault="00B3281F" w:rsidP="00B3281F">
      <w:pPr>
        <w:spacing w:before="0"/>
        <w:rPr>
          <w:rtl/>
        </w:rPr>
      </w:pPr>
      <w:r>
        <w:rPr>
          <w:rFonts w:hint="cs"/>
          <w:rtl/>
        </w:rPr>
        <w:t>والبحث في هذه القضية يتضمن ما يأتي:</w:t>
      </w:r>
    </w:p>
    <w:p w14:paraId="0208C8F7" w14:textId="7311C883" w:rsidR="00B3281F" w:rsidRDefault="00B3281F" w:rsidP="00B3281F">
      <w:pPr>
        <w:pStyle w:val="ListParagraph"/>
        <w:numPr>
          <w:ilvl w:val="0"/>
          <w:numId w:val="27"/>
        </w:numPr>
        <w:ind w:left="567" w:hanging="567"/>
      </w:pPr>
      <w:r>
        <w:rPr>
          <w:rFonts w:hint="cs"/>
          <w:rtl/>
        </w:rPr>
        <w:t>مذاهب فقهاء الشريعة الإسلامية في صحة أو عدم صحة هذا الاستثناء والشرط وأدلة كل فريق والترجيع بين هذه المذاهب.</w:t>
      </w:r>
    </w:p>
    <w:p w14:paraId="002ABB41" w14:textId="7A003F78" w:rsidR="00B3281F" w:rsidRDefault="00B3281F" w:rsidP="00B3281F">
      <w:pPr>
        <w:pStyle w:val="ListParagraph"/>
        <w:numPr>
          <w:ilvl w:val="0"/>
          <w:numId w:val="27"/>
        </w:numPr>
        <w:ind w:left="567" w:hanging="567"/>
      </w:pPr>
      <w:r>
        <w:rPr>
          <w:rFonts w:hint="cs"/>
          <w:rtl/>
        </w:rPr>
        <w:t>موقف الدراسة الماثلة من هذه القضية وأدلته.</w:t>
      </w:r>
    </w:p>
    <w:p w14:paraId="065221A8" w14:textId="5C6AEB93" w:rsidR="00B3281F" w:rsidRDefault="00B3281F" w:rsidP="00B3281F">
      <w:pPr>
        <w:spacing w:before="0"/>
        <w:rPr>
          <w:rtl/>
        </w:rPr>
      </w:pPr>
      <w:r w:rsidRPr="00B3281F">
        <w:rPr>
          <w:rStyle w:val="Heading2Char"/>
          <w:rFonts w:hint="cs"/>
          <w:rtl/>
        </w:rPr>
        <w:t>أول</w:t>
      </w:r>
      <w:r>
        <w:rPr>
          <w:rStyle w:val="Heading2Char"/>
          <w:rFonts w:hint="cs"/>
          <w:rtl/>
        </w:rPr>
        <w:t>اً</w:t>
      </w:r>
      <w:r w:rsidRPr="00B3281F">
        <w:rPr>
          <w:rStyle w:val="Heading2Char"/>
          <w:rFonts w:hint="cs"/>
          <w:rtl/>
        </w:rPr>
        <w:t>: مذهب الفقهاء:</w:t>
      </w:r>
      <w:r>
        <w:rPr>
          <w:rFonts w:hint="cs"/>
          <w:rtl/>
        </w:rPr>
        <w:t xml:space="preserve"> يرى الأئمة المرغيناني في الهداية</w:t>
      </w:r>
      <w:r w:rsidRPr="0046333C">
        <w:rPr>
          <w:rFonts w:hint="cs"/>
          <w:vertAlign w:val="superscript"/>
          <w:rtl/>
          <w:lang w:bidi="ar-EG"/>
        </w:rPr>
        <w:t>(</w:t>
      </w:r>
      <w:r w:rsidRPr="0046333C">
        <w:rPr>
          <w:vertAlign w:val="superscript"/>
          <w:rtl/>
        </w:rPr>
        <w:footnoteReference w:id="83"/>
      </w:r>
      <w:r w:rsidRPr="0046333C">
        <w:rPr>
          <w:rFonts w:hint="cs"/>
          <w:vertAlign w:val="superscript"/>
          <w:rtl/>
          <w:lang w:bidi="ar-EG"/>
        </w:rPr>
        <w:t>)</w:t>
      </w:r>
      <w:r>
        <w:rPr>
          <w:rFonts w:hint="cs"/>
          <w:rtl/>
        </w:rPr>
        <w:t xml:space="preserve"> والطرابلسي في الإسعاف</w:t>
      </w:r>
      <w:r w:rsidRPr="0046333C">
        <w:rPr>
          <w:rFonts w:hint="cs"/>
          <w:vertAlign w:val="superscript"/>
          <w:rtl/>
          <w:lang w:bidi="ar-EG"/>
        </w:rPr>
        <w:t>(</w:t>
      </w:r>
      <w:r w:rsidRPr="0046333C">
        <w:rPr>
          <w:vertAlign w:val="superscript"/>
          <w:rtl/>
        </w:rPr>
        <w:footnoteReference w:id="84"/>
      </w:r>
      <w:r w:rsidRPr="0046333C">
        <w:rPr>
          <w:rFonts w:hint="cs"/>
          <w:vertAlign w:val="superscript"/>
          <w:rtl/>
          <w:lang w:bidi="ar-EG"/>
        </w:rPr>
        <w:t>)</w:t>
      </w:r>
      <w:r>
        <w:rPr>
          <w:rFonts w:hint="cs"/>
          <w:rtl/>
        </w:rPr>
        <w:t xml:space="preserve"> والنووي في روضة الطالبين</w:t>
      </w:r>
      <w:r w:rsidRPr="0046333C">
        <w:rPr>
          <w:rFonts w:hint="cs"/>
          <w:vertAlign w:val="superscript"/>
          <w:rtl/>
          <w:lang w:bidi="ar-EG"/>
        </w:rPr>
        <w:t>(</w:t>
      </w:r>
      <w:r w:rsidRPr="0046333C">
        <w:rPr>
          <w:vertAlign w:val="superscript"/>
          <w:rtl/>
        </w:rPr>
        <w:footnoteReference w:id="85"/>
      </w:r>
      <w:r w:rsidRPr="0046333C">
        <w:rPr>
          <w:rFonts w:hint="cs"/>
          <w:vertAlign w:val="superscript"/>
          <w:rtl/>
          <w:lang w:bidi="ar-EG"/>
        </w:rPr>
        <w:t>)</w:t>
      </w:r>
      <w:r>
        <w:rPr>
          <w:rFonts w:hint="cs"/>
          <w:rtl/>
        </w:rPr>
        <w:t xml:space="preserve"> والرملي في نهاية المحتاج</w:t>
      </w:r>
      <w:r w:rsidRPr="0046333C">
        <w:rPr>
          <w:rFonts w:hint="cs"/>
          <w:vertAlign w:val="superscript"/>
          <w:rtl/>
          <w:lang w:bidi="ar-EG"/>
        </w:rPr>
        <w:t>(</w:t>
      </w:r>
      <w:r w:rsidRPr="0046333C">
        <w:rPr>
          <w:vertAlign w:val="superscript"/>
          <w:rtl/>
        </w:rPr>
        <w:footnoteReference w:id="86"/>
      </w:r>
      <w:r w:rsidRPr="0046333C">
        <w:rPr>
          <w:rFonts w:hint="cs"/>
          <w:vertAlign w:val="superscript"/>
          <w:rtl/>
          <w:lang w:bidi="ar-EG"/>
        </w:rPr>
        <w:t>)</w:t>
      </w:r>
      <w:r>
        <w:rPr>
          <w:rFonts w:hint="cs"/>
          <w:rtl/>
        </w:rPr>
        <w:t xml:space="preserve"> وابن قدامة في المغني</w:t>
      </w:r>
      <w:r w:rsidRPr="0046333C">
        <w:rPr>
          <w:rFonts w:hint="cs"/>
          <w:vertAlign w:val="superscript"/>
          <w:rtl/>
          <w:lang w:bidi="ar-EG"/>
        </w:rPr>
        <w:t>(</w:t>
      </w:r>
      <w:r w:rsidRPr="0046333C">
        <w:rPr>
          <w:vertAlign w:val="superscript"/>
          <w:rtl/>
        </w:rPr>
        <w:footnoteReference w:id="87"/>
      </w:r>
      <w:r w:rsidRPr="0046333C">
        <w:rPr>
          <w:rFonts w:hint="cs"/>
          <w:vertAlign w:val="superscript"/>
          <w:rtl/>
          <w:lang w:bidi="ar-EG"/>
        </w:rPr>
        <w:t>)</w:t>
      </w:r>
      <w:r>
        <w:rPr>
          <w:rFonts w:hint="cs"/>
          <w:rtl/>
        </w:rPr>
        <w:t xml:space="preserve"> وابن مفلح في الفروع</w:t>
      </w:r>
      <w:r w:rsidRPr="0046333C">
        <w:rPr>
          <w:rFonts w:hint="cs"/>
          <w:vertAlign w:val="superscript"/>
          <w:rtl/>
          <w:lang w:bidi="ar-EG"/>
        </w:rPr>
        <w:t>(</w:t>
      </w:r>
      <w:r w:rsidRPr="0046333C">
        <w:rPr>
          <w:vertAlign w:val="superscript"/>
          <w:rtl/>
        </w:rPr>
        <w:footnoteReference w:id="88"/>
      </w:r>
      <w:r w:rsidRPr="0046333C">
        <w:rPr>
          <w:rFonts w:hint="cs"/>
          <w:vertAlign w:val="superscript"/>
          <w:rtl/>
          <w:lang w:bidi="ar-EG"/>
        </w:rPr>
        <w:t>)</w:t>
      </w:r>
      <w:r>
        <w:rPr>
          <w:rFonts w:hint="cs"/>
          <w:rtl/>
        </w:rPr>
        <w:t xml:space="preserve"> يرون أن الوقف صحيح والشرط صحيح.</w:t>
      </w:r>
    </w:p>
    <w:p w14:paraId="51831BE9" w14:textId="486E3525" w:rsidR="00B3281F" w:rsidRDefault="00B3281F" w:rsidP="00B3281F">
      <w:pPr>
        <w:spacing w:before="0"/>
        <w:rPr>
          <w:rtl/>
        </w:rPr>
      </w:pPr>
      <w:r>
        <w:rPr>
          <w:rFonts w:hint="cs"/>
          <w:rtl/>
        </w:rPr>
        <w:lastRenderedPageBreak/>
        <w:t>ويرى جمهور فقهاء المالكية</w:t>
      </w:r>
      <w:r w:rsidRPr="0046333C">
        <w:rPr>
          <w:rFonts w:hint="cs"/>
          <w:vertAlign w:val="superscript"/>
          <w:rtl/>
          <w:lang w:bidi="ar-EG"/>
        </w:rPr>
        <w:t>(</w:t>
      </w:r>
      <w:r w:rsidRPr="0046333C">
        <w:rPr>
          <w:vertAlign w:val="superscript"/>
          <w:rtl/>
        </w:rPr>
        <w:footnoteReference w:id="89"/>
      </w:r>
      <w:r w:rsidRPr="0046333C">
        <w:rPr>
          <w:rFonts w:hint="cs"/>
          <w:vertAlign w:val="superscript"/>
          <w:rtl/>
          <w:lang w:bidi="ar-EG"/>
        </w:rPr>
        <w:t>)</w:t>
      </w:r>
      <w:r>
        <w:rPr>
          <w:rFonts w:hint="cs"/>
          <w:rtl/>
        </w:rPr>
        <w:t xml:space="preserve"> وبعض فقهاء الشافعية: عدم صحة الوقف وفي رواية عند فقهاء الحنابلة: أ، الوقف صحيح والشرط باطل</w:t>
      </w:r>
      <w:r w:rsidRPr="0046333C">
        <w:rPr>
          <w:rFonts w:hint="cs"/>
          <w:vertAlign w:val="superscript"/>
          <w:rtl/>
          <w:lang w:bidi="ar-EG"/>
        </w:rPr>
        <w:t>(</w:t>
      </w:r>
      <w:r w:rsidRPr="0046333C">
        <w:rPr>
          <w:vertAlign w:val="superscript"/>
          <w:rtl/>
        </w:rPr>
        <w:footnoteReference w:id="90"/>
      </w:r>
      <w:r w:rsidRPr="0046333C">
        <w:rPr>
          <w:rFonts w:hint="cs"/>
          <w:vertAlign w:val="superscript"/>
          <w:rtl/>
          <w:lang w:bidi="ar-EG"/>
        </w:rPr>
        <w:t>)</w:t>
      </w:r>
      <w:r>
        <w:rPr>
          <w:rFonts w:hint="cs"/>
          <w:rtl/>
        </w:rPr>
        <w:t>، فهذه ثلاثة أقوال في المسألة، وقبل أن نذكر أدلة كل قول منها ننبه إلى أن موضوع هذه القضية يختلف عن موضوع استحقاق الواقف لبعض غلة وقفه إذا شمله وصف الموقوف عليهم، فلو قال: وقفت هذا المال على مرضى الكبد الوبائي ثم أصابه هذا المرض فإنه يدخل في وصف المستحقين لريع وقفه</w:t>
      </w:r>
      <w:r w:rsidR="00707710">
        <w:rPr>
          <w:rFonts w:hint="cs"/>
          <w:rtl/>
        </w:rPr>
        <w:t xml:space="preserve"> فهذه مسألة أخرى غير المسألة موضوع البحث في وصفها وفي حكمها.</w:t>
      </w:r>
    </w:p>
    <w:p w14:paraId="7559B819" w14:textId="164FAA03" w:rsidR="00707710" w:rsidRDefault="00707710" w:rsidP="00707710">
      <w:pPr>
        <w:pStyle w:val="Heading2"/>
        <w:rPr>
          <w:rtl/>
        </w:rPr>
      </w:pPr>
      <w:r>
        <w:rPr>
          <w:rFonts w:hint="cs"/>
          <w:rtl/>
        </w:rPr>
        <w:t>أدلة الأقوال الثلاثة في قضية البحث:</w:t>
      </w:r>
    </w:p>
    <w:p w14:paraId="10B81087" w14:textId="24D1B3E1" w:rsidR="00707710" w:rsidRPr="00707710" w:rsidRDefault="00707710" w:rsidP="00707710">
      <w:pPr>
        <w:ind w:firstLine="0"/>
        <w:rPr>
          <w:rtl/>
        </w:rPr>
      </w:pPr>
      <w:r>
        <w:rPr>
          <w:rFonts w:hint="cs"/>
          <w:rtl/>
        </w:rPr>
        <w:t>استدل أصحاب القول الأول على صحة الموقف والشرط بما يلي:</w:t>
      </w:r>
    </w:p>
    <w:p w14:paraId="42909120" w14:textId="791B5FE2" w:rsidR="00486291" w:rsidRDefault="00707710" w:rsidP="00707710">
      <w:pPr>
        <w:pStyle w:val="ListParagraph"/>
        <w:numPr>
          <w:ilvl w:val="0"/>
          <w:numId w:val="28"/>
        </w:numPr>
        <w:ind w:left="567" w:hanging="567"/>
      </w:pPr>
      <w:r>
        <w:rPr>
          <w:rFonts w:hint="cs"/>
          <w:rtl/>
        </w:rPr>
        <w:t>لقد أقر الفقهاء للواقف بالحق في أن يحدد نوع وقفه وغرضه وبأن يشترط في وثيقته ما يشاء من الشروط التي لا تخالف أحكام الشريعة، كما أقروا له بلزوم هذه الشروط ومعاملتها معاملة نص الشارع ما دامت مقيدة بأحكام الشريعة، ولم يرد نهي من الشارع عنها، وليست منافية لمقتضى الوقف أو ملحقة للضرر بالواقف أو بالمستحقين للريع، وعليه: فإن الشروط في الوقف من حيث ذاتها وحق الواقف في النص عليها صحيحة ما دامت غير مبطلة للعقد أو باطلة.</w:t>
      </w:r>
    </w:p>
    <w:p w14:paraId="1CB0DF4A" w14:textId="64F1A5E7" w:rsidR="00707710" w:rsidRDefault="00707710" w:rsidP="00707710">
      <w:pPr>
        <w:rPr>
          <w:rtl/>
        </w:rPr>
      </w:pPr>
      <w:r>
        <w:rPr>
          <w:rFonts w:hint="cs"/>
          <w:rtl/>
        </w:rPr>
        <w:t>واشتراط الواقف غلة الوقف ولا تأبيده لعدم تعلقه ببيعه أو هبته أو توريثه ولا يوقف (يعطّل) إنشاء الوقف، فضلًا عن كونه غير منهي عنه شرعًا.</w:t>
      </w:r>
    </w:p>
    <w:p w14:paraId="67DB791E" w14:textId="6F274CB5" w:rsidR="00707710" w:rsidRDefault="00707710" w:rsidP="00707710">
      <w:pPr>
        <w:pStyle w:val="ListParagraph"/>
        <w:numPr>
          <w:ilvl w:val="0"/>
          <w:numId w:val="28"/>
        </w:numPr>
        <w:ind w:left="567" w:hanging="567"/>
      </w:pPr>
      <w:r>
        <w:rPr>
          <w:rFonts w:hint="cs"/>
          <w:rtl/>
        </w:rPr>
        <w:t>أنه قد قامت الأدلة الشرعية على صحة الوقف جميعه على النفس (أعيانه ومنافعه) فاستثناء المنافع فقط مدة حياة الواقف يكون صحيحًا من باب أوْلى.</w:t>
      </w:r>
    </w:p>
    <w:p w14:paraId="68FF6710" w14:textId="52C88820" w:rsidR="00707710" w:rsidRDefault="00707710" w:rsidP="00707710">
      <w:pPr>
        <w:pStyle w:val="Heading2"/>
      </w:pPr>
      <w:r>
        <w:rPr>
          <w:rFonts w:hint="cs"/>
          <w:rtl/>
        </w:rPr>
        <w:lastRenderedPageBreak/>
        <w:t>أدلة أصحاب القول الثاني (عدم صحة الوقف):</w:t>
      </w:r>
    </w:p>
    <w:p w14:paraId="3D46A8E2" w14:textId="2ED368B7" w:rsidR="00486291" w:rsidRDefault="00707710" w:rsidP="00707710">
      <w:pPr>
        <w:pStyle w:val="ListParagraph"/>
        <w:numPr>
          <w:ilvl w:val="0"/>
          <w:numId w:val="29"/>
        </w:numPr>
        <w:ind w:left="567" w:hanging="567"/>
        <w:rPr>
          <w:lang w:bidi="ar-EG"/>
        </w:rPr>
      </w:pPr>
      <w:r>
        <w:rPr>
          <w:rFonts w:hint="cs"/>
          <w:rtl/>
          <w:lang w:bidi="ar-EG"/>
        </w:rPr>
        <w:t>أن استثناء المنافع يتعارض مع كون الوقف تبرعًا بمنافع عيانه للموقوف عليهم على وجه التمليك، واستثناء المنافع يمنع اكتمال أركانه وشروطه فيبطله.</w:t>
      </w:r>
    </w:p>
    <w:p w14:paraId="5F59BA32" w14:textId="61012B5F" w:rsidR="00707710" w:rsidRDefault="00707710" w:rsidP="00707710">
      <w:pPr>
        <w:pStyle w:val="ListParagraph"/>
        <w:numPr>
          <w:ilvl w:val="0"/>
          <w:numId w:val="29"/>
        </w:numPr>
        <w:ind w:left="567" w:hanging="567"/>
        <w:rPr>
          <w:lang w:bidi="ar-EG"/>
        </w:rPr>
      </w:pPr>
      <w:r>
        <w:rPr>
          <w:rFonts w:hint="cs"/>
          <w:rtl/>
          <w:lang w:bidi="ar-EG"/>
        </w:rPr>
        <w:t>أن الوقف بمجرد إنشائه يزيل ملك الواقف عن العين ومنافعها، شأنه في ذلك شأن البيع والهبة والصدقة، ولما كان من غير الجائز أن يبيع أو يهب أو يتصدق الإنسان بمال ويستثنى بعض منافه، فإنه لا يجوز استثناء المنافع في الوقف.</w:t>
      </w:r>
    </w:p>
    <w:p w14:paraId="1A2EB233" w14:textId="5C29443F" w:rsidR="00707710" w:rsidRPr="00C850C3" w:rsidRDefault="00C850C3" w:rsidP="00C850C3">
      <w:pPr>
        <w:pStyle w:val="Heading2"/>
        <w:rPr>
          <w:rtl/>
          <w:lang w:bidi="ar-EG"/>
        </w:rPr>
      </w:pPr>
      <w:r>
        <w:rPr>
          <w:rFonts w:hint="cs"/>
          <w:rtl/>
          <w:lang w:bidi="ar-EG"/>
        </w:rPr>
        <w:t>أدلة أصحاب القول الثالث (الوقف صحيح والشرط باطل):</w:t>
      </w:r>
    </w:p>
    <w:p w14:paraId="0AB83C80" w14:textId="5332A2B7" w:rsidR="00486291" w:rsidRDefault="00C850C3" w:rsidP="00C850C3">
      <w:pPr>
        <w:pStyle w:val="ListParagraph"/>
        <w:numPr>
          <w:ilvl w:val="0"/>
          <w:numId w:val="30"/>
        </w:numPr>
        <w:ind w:left="567" w:hanging="567"/>
        <w:rPr>
          <w:lang w:bidi="ar-EG"/>
        </w:rPr>
      </w:pPr>
      <w:r>
        <w:rPr>
          <w:rFonts w:hint="cs"/>
          <w:rtl/>
          <w:lang w:bidi="ar-EG"/>
        </w:rPr>
        <w:t>أن الوقف تبرع بمناع أعيانه، وحقوق المستحقين فيه تتعلق بالمنافع بالأعيان وتقييد استحقاق المنفعة بالزمان يضر بمصالح المستحقين فيكون الشرط باطلًا.</w:t>
      </w:r>
    </w:p>
    <w:p w14:paraId="06B5ED3D" w14:textId="242CDBDE" w:rsidR="00C850C3" w:rsidRDefault="00C850C3" w:rsidP="00C850C3">
      <w:pPr>
        <w:pStyle w:val="ListParagraph"/>
        <w:numPr>
          <w:ilvl w:val="0"/>
          <w:numId w:val="30"/>
        </w:numPr>
        <w:ind w:left="567" w:hanging="567"/>
        <w:rPr>
          <w:lang w:bidi="ar-EG"/>
        </w:rPr>
      </w:pPr>
      <w:r>
        <w:rPr>
          <w:rFonts w:hint="cs"/>
          <w:rtl/>
          <w:lang w:bidi="ar-EG"/>
        </w:rPr>
        <w:t>الشرط هنا غير ملائم للمقصود شرعًا من المشروع ولا مكمل لحكمته، بل هو على الضدّ منه، فيقاس على من باع عينًا واشترط على المشتري ألا ينتفع بالعين المباعة.</w:t>
      </w:r>
    </w:p>
    <w:p w14:paraId="3BFC5470" w14:textId="360B0C85" w:rsidR="00C850C3" w:rsidRDefault="00C850C3" w:rsidP="00C850C3">
      <w:pPr>
        <w:pStyle w:val="Heading2"/>
        <w:rPr>
          <w:rtl/>
          <w:lang w:bidi="ar-EG"/>
        </w:rPr>
      </w:pPr>
      <w:r>
        <w:rPr>
          <w:rFonts w:hint="cs"/>
          <w:rtl/>
          <w:lang w:bidi="ar-EG"/>
        </w:rPr>
        <w:t>موقف الدراسة الماثلة من استثناء منافع المال الموقوف لصالح الواقف:</w:t>
      </w:r>
    </w:p>
    <w:p w14:paraId="5B4B65B2" w14:textId="40A896ED" w:rsidR="00C850C3" w:rsidRDefault="00C850C3" w:rsidP="00C850C3">
      <w:pPr>
        <w:rPr>
          <w:rtl/>
          <w:lang w:bidi="ar-EG"/>
        </w:rPr>
      </w:pPr>
      <w:r>
        <w:rPr>
          <w:rFonts w:hint="cs"/>
          <w:rtl/>
          <w:lang w:bidi="ar-EG"/>
        </w:rPr>
        <w:t>ترجح الدراسة الماثلة القول بصحة وجواز استثناء الواقف منافع المال الموقوف لصالح طيلة ما تبقى له من العمر أو لمدة زمنية محددة، وتستدل على ذلك بما يأتي:</w:t>
      </w:r>
    </w:p>
    <w:p w14:paraId="502AB50B" w14:textId="7ACF9A43" w:rsidR="00C850C3" w:rsidRDefault="00C850C3" w:rsidP="00C850C3">
      <w:pPr>
        <w:pStyle w:val="ListParagraph"/>
        <w:numPr>
          <w:ilvl w:val="0"/>
          <w:numId w:val="31"/>
        </w:numPr>
        <w:ind w:left="567" w:hanging="567"/>
        <w:rPr>
          <w:lang w:bidi="ar-EG"/>
        </w:rPr>
      </w:pPr>
      <w:r>
        <w:rPr>
          <w:rFonts w:hint="cs"/>
          <w:rtl/>
          <w:lang w:bidi="ar-EG"/>
        </w:rPr>
        <w:t>بما تقدم من أدلة جواز وصحة الوقف على النفس.</w:t>
      </w:r>
    </w:p>
    <w:p w14:paraId="731BEFEE" w14:textId="0A52355D" w:rsidR="00C850C3" w:rsidRDefault="00C850C3" w:rsidP="00C850C3">
      <w:pPr>
        <w:pStyle w:val="ListParagraph"/>
        <w:numPr>
          <w:ilvl w:val="0"/>
          <w:numId w:val="31"/>
        </w:numPr>
        <w:ind w:left="567" w:hanging="567"/>
        <w:rPr>
          <w:lang w:bidi="ar-EG"/>
        </w:rPr>
      </w:pPr>
      <w:r>
        <w:rPr>
          <w:rFonts w:hint="cs"/>
          <w:rtl/>
          <w:lang w:bidi="ar-EG"/>
        </w:rPr>
        <w:t>بمنع قياس الوقف على البيع أو العتق أو الهبة في عدم اشتراط منافع المبيع أو العبد أو المال الموهوب لمنافع محل العقد في هذه العقود للأسباب التالية:</w:t>
      </w:r>
    </w:p>
    <w:p w14:paraId="3E9CF045" w14:textId="62124BFF" w:rsidR="00C850C3" w:rsidRDefault="00C850C3" w:rsidP="00C850C3">
      <w:pPr>
        <w:pStyle w:val="ListParagraph"/>
        <w:numPr>
          <w:ilvl w:val="0"/>
          <w:numId w:val="32"/>
        </w:numPr>
        <w:ind w:left="1134" w:hanging="567"/>
        <w:rPr>
          <w:lang w:bidi="ar-EG"/>
        </w:rPr>
      </w:pPr>
      <w:r>
        <w:rPr>
          <w:rFonts w:hint="cs"/>
          <w:rtl/>
          <w:lang w:bidi="ar-EG"/>
        </w:rPr>
        <w:t xml:space="preserve">أن منافع المبيع والعقد والمال الموهوب لمعيّن منافع أشخاصًا معينين بالذات والحقوق فيها حقوق خاصة مبنية على المشاحّة، خلافًا للوقف فإنه عبادة معقولة المعنى يتعلق بها حقان، حق لله تعالى وحق للموقوف </w:t>
      </w:r>
      <w:r>
        <w:rPr>
          <w:rFonts w:hint="cs"/>
          <w:rtl/>
          <w:lang w:bidi="ar-EG"/>
        </w:rPr>
        <w:lastRenderedPageBreak/>
        <w:t>عليه غير المعين، وحقوق الله تعالى تجري فيها المساهلة، ولا تحمل على الاستقصاء، وكمال الاستيفاء كحقوق لآدميين</w:t>
      </w:r>
      <w:r w:rsidRPr="0046333C">
        <w:rPr>
          <w:rFonts w:hint="cs"/>
          <w:vertAlign w:val="superscript"/>
          <w:rtl/>
          <w:lang w:bidi="ar-EG"/>
        </w:rPr>
        <w:t>(</w:t>
      </w:r>
      <w:r w:rsidRPr="0046333C">
        <w:rPr>
          <w:vertAlign w:val="superscript"/>
          <w:rtl/>
        </w:rPr>
        <w:footnoteReference w:id="91"/>
      </w:r>
      <w:r w:rsidRPr="0046333C">
        <w:rPr>
          <w:rFonts w:hint="cs"/>
          <w:vertAlign w:val="superscript"/>
          <w:rtl/>
          <w:lang w:bidi="ar-EG"/>
        </w:rPr>
        <w:t>)</w:t>
      </w:r>
      <w:r>
        <w:rPr>
          <w:rFonts w:hint="cs"/>
          <w:rtl/>
          <w:lang w:bidi="ar-EG"/>
        </w:rPr>
        <w:t>.</w:t>
      </w:r>
    </w:p>
    <w:p w14:paraId="43E707E2" w14:textId="2D83364F" w:rsidR="00C850C3" w:rsidRDefault="00C850C3" w:rsidP="00C850C3">
      <w:pPr>
        <w:pStyle w:val="ListParagraph"/>
        <w:numPr>
          <w:ilvl w:val="0"/>
          <w:numId w:val="32"/>
        </w:numPr>
        <w:ind w:left="1134" w:hanging="567"/>
        <w:rPr>
          <w:lang w:bidi="ar-EG"/>
        </w:rPr>
      </w:pPr>
      <w:r>
        <w:rPr>
          <w:rFonts w:hint="cs"/>
          <w:rtl/>
          <w:lang w:bidi="ar-EG"/>
        </w:rPr>
        <w:t>ما ذكره ابن رجب الحنبلي في القاعدة 41 من أنه: يصح استثناء منفعة العين المنتقل ملكها، من ناقلها مدة معلومة</w:t>
      </w:r>
      <w:r w:rsidRPr="0046333C">
        <w:rPr>
          <w:rFonts w:hint="cs"/>
          <w:vertAlign w:val="superscript"/>
          <w:rtl/>
          <w:lang w:bidi="ar-EG"/>
        </w:rPr>
        <w:t>(</w:t>
      </w:r>
      <w:r w:rsidRPr="0046333C">
        <w:rPr>
          <w:vertAlign w:val="superscript"/>
          <w:rtl/>
        </w:rPr>
        <w:footnoteReference w:id="92"/>
      </w:r>
      <w:r w:rsidRPr="0046333C">
        <w:rPr>
          <w:rFonts w:hint="cs"/>
          <w:vertAlign w:val="superscript"/>
          <w:rtl/>
          <w:lang w:bidi="ar-EG"/>
        </w:rPr>
        <w:t>)</w:t>
      </w:r>
      <w:r>
        <w:rPr>
          <w:rFonts w:hint="cs"/>
          <w:rtl/>
          <w:lang w:bidi="ar-EG"/>
        </w:rPr>
        <w:t>.</w:t>
      </w:r>
    </w:p>
    <w:p w14:paraId="02B2FF28" w14:textId="6B1E2B5B" w:rsidR="00C850C3" w:rsidRPr="00C850C3" w:rsidRDefault="00C850C3" w:rsidP="00C850C3">
      <w:pPr>
        <w:pStyle w:val="ListParagraph"/>
        <w:numPr>
          <w:ilvl w:val="0"/>
          <w:numId w:val="32"/>
        </w:numPr>
        <w:ind w:left="1134" w:hanging="567"/>
        <w:rPr>
          <w:rtl/>
          <w:lang w:bidi="ar-EG"/>
        </w:rPr>
      </w:pPr>
      <w:r>
        <w:rPr>
          <w:rFonts w:hint="cs"/>
          <w:rtl/>
          <w:lang w:bidi="ar-EG"/>
        </w:rPr>
        <w:t>ما ذكره السّعدي في قواعده من أن استثناء المنافع المعلومة في العين المنتقلة بمعاوضة جائز، وفي التبرعات يجوز استثناء المعلومة والمجهولة</w:t>
      </w:r>
      <w:r w:rsidRPr="0046333C">
        <w:rPr>
          <w:rFonts w:hint="cs"/>
          <w:vertAlign w:val="superscript"/>
          <w:rtl/>
          <w:lang w:bidi="ar-EG"/>
        </w:rPr>
        <w:t>(</w:t>
      </w:r>
      <w:r w:rsidRPr="0046333C">
        <w:rPr>
          <w:vertAlign w:val="superscript"/>
          <w:rtl/>
        </w:rPr>
        <w:footnoteReference w:id="93"/>
      </w:r>
      <w:r w:rsidRPr="0046333C">
        <w:rPr>
          <w:rFonts w:hint="cs"/>
          <w:vertAlign w:val="superscript"/>
          <w:rtl/>
          <w:lang w:bidi="ar-EG"/>
        </w:rPr>
        <w:t>)</w:t>
      </w:r>
      <w:r>
        <w:rPr>
          <w:rFonts w:hint="cs"/>
          <w:rtl/>
          <w:lang w:bidi="ar-EG"/>
        </w:rPr>
        <w:t>.</w:t>
      </w:r>
    </w:p>
    <w:p w14:paraId="704FB9EF" w14:textId="27D03B7A" w:rsidR="00C850C3" w:rsidRDefault="00C850C3" w:rsidP="00C850C3">
      <w:pPr>
        <w:pStyle w:val="ListParagraph"/>
        <w:numPr>
          <w:ilvl w:val="0"/>
          <w:numId w:val="31"/>
        </w:numPr>
        <w:ind w:left="567" w:hanging="567"/>
        <w:rPr>
          <w:lang w:bidi="ar-EG"/>
        </w:rPr>
      </w:pPr>
      <w:r>
        <w:rPr>
          <w:rFonts w:hint="cs"/>
          <w:rtl/>
          <w:lang w:bidi="ar-EG"/>
        </w:rPr>
        <w:t>من المعلوم أن الوقف تبرع بمنافع الأعيان، ويقرر الفقهاء أنه يغتفر في أبواب التبرعات ما لا يغتفر في أبواب المعاملات ومن ثم فإنه لا يصح قياسه على البيع.</w:t>
      </w:r>
    </w:p>
    <w:p w14:paraId="15034005" w14:textId="726138EF" w:rsidR="00C850C3" w:rsidRDefault="00C850C3" w:rsidP="00C850C3">
      <w:pPr>
        <w:pStyle w:val="ListParagraph"/>
        <w:numPr>
          <w:ilvl w:val="0"/>
          <w:numId w:val="31"/>
        </w:numPr>
        <w:ind w:left="567" w:hanging="567"/>
        <w:rPr>
          <w:lang w:bidi="ar-EG"/>
        </w:rPr>
      </w:pPr>
      <w:r>
        <w:rPr>
          <w:rFonts w:hint="cs"/>
          <w:rtl/>
          <w:lang w:bidi="ar-EG"/>
        </w:rPr>
        <w:t>ما صرّح به ابن رجب في قواعده من أن الوقف يصح أن يقف ويستثنى منفعة وقفه مدة معلومة أو مدة حياته</w:t>
      </w:r>
      <w:r w:rsidRPr="0046333C">
        <w:rPr>
          <w:rFonts w:hint="cs"/>
          <w:vertAlign w:val="superscript"/>
          <w:rtl/>
          <w:lang w:bidi="ar-EG"/>
        </w:rPr>
        <w:t>(</w:t>
      </w:r>
      <w:r w:rsidRPr="0046333C">
        <w:rPr>
          <w:vertAlign w:val="superscript"/>
          <w:rtl/>
        </w:rPr>
        <w:footnoteReference w:id="94"/>
      </w:r>
      <w:r w:rsidRPr="0046333C">
        <w:rPr>
          <w:rFonts w:hint="cs"/>
          <w:vertAlign w:val="superscript"/>
          <w:rtl/>
          <w:lang w:bidi="ar-EG"/>
        </w:rPr>
        <w:t>)</w:t>
      </w:r>
      <w:r>
        <w:rPr>
          <w:rFonts w:hint="cs"/>
          <w:rtl/>
          <w:lang w:bidi="ar-EG"/>
        </w:rPr>
        <w:t>.</w:t>
      </w:r>
    </w:p>
    <w:p w14:paraId="576D1669" w14:textId="342F2564" w:rsidR="00C850C3" w:rsidRDefault="00C850C3" w:rsidP="00C850C3">
      <w:pPr>
        <w:pStyle w:val="Heading2"/>
        <w:rPr>
          <w:rtl/>
          <w:lang w:bidi="ar-EG"/>
        </w:rPr>
      </w:pPr>
      <w:r>
        <w:rPr>
          <w:rFonts w:hint="cs"/>
          <w:rtl/>
          <w:lang w:bidi="ar-EG"/>
        </w:rPr>
        <w:t>استحقاق الواقف من الوقف إذا شمله وصف الموقوف عليه:</w:t>
      </w:r>
    </w:p>
    <w:p w14:paraId="3B67570A" w14:textId="43FCB846" w:rsidR="00C850C3" w:rsidRDefault="00C850C3" w:rsidP="00C850C3">
      <w:pPr>
        <w:rPr>
          <w:rtl/>
          <w:lang w:bidi="ar-EG"/>
        </w:rPr>
      </w:pPr>
      <w:r>
        <w:rPr>
          <w:rFonts w:hint="cs"/>
          <w:rtl/>
          <w:lang w:bidi="ar-EG"/>
        </w:rPr>
        <w:t>للفقهاء في هذه المسألة اتجاهان هما:</w:t>
      </w:r>
    </w:p>
    <w:p w14:paraId="23C67E03" w14:textId="2CB251E2" w:rsidR="00C850C3" w:rsidRDefault="00C850C3" w:rsidP="00C850C3">
      <w:pPr>
        <w:pStyle w:val="ListParagraph"/>
        <w:numPr>
          <w:ilvl w:val="0"/>
          <w:numId w:val="34"/>
        </w:numPr>
        <w:ind w:left="567" w:hanging="567"/>
        <w:rPr>
          <w:lang w:bidi="ar-EG"/>
        </w:rPr>
      </w:pPr>
      <w:r>
        <w:rPr>
          <w:rFonts w:hint="cs"/>
          <w:rtl/>
          <w:lang w:bidi="ar-EG"/>
        </w:rPr>
        <w:t xml:space="preserve">يرى جمهور فقهاء المالكية والشافعية والحنابلة استحقاق الواقف الأخذ من غلة الوقف، وفي ذلك يقول ابن رجب الحنبلي في قواعده: هل يكون الواقف مصرفًا لوقفه؟ كما لو وقف شيئًا على الفقراء ثم افتقر فإنه يدخل على الأصح، ونص </w:t>
      </w:r>
      <w:r>
        <w:rPr>
          <w:rFonts w:hint="cs"/>
          <w:rtl/>
          <w:lang w:bidi="ar-EG"/>
        </w:rPr>
        <w:lastRenderedPageBreak/>
        <w:t xml:space="preserve">عليه أحمد في رواية المروزي، وكذلك لو انقطع مصرف الوقف وقلنا </w:t>
      </w:r>
      <w:r w:rsidR="00890CB0">
        <w:rPr>
          <w:rFonts w:hint="cs"/>
          <w:rtl/>
          <w:lang w:bidi="ar-EG"/>
        </w:rPr>
        <w:t>يرجع إلى أقاربه وقفًا، وكان الواقف حيًا، هل يرجع إليه؟ على روايتين حكاهما ابن الزغواني في الإقناع، وجزم ابن عقيل في المفردات بدخوله، وكذلك لو وقف على أولاده وأنسابهم أبدًا، على أنه من توفى منهم عن غير ولد، رجع نصيبه إلى أقرب الناس إليه، فتوفي أحد أولاده عن غير ولد، والأب الواقف حيّ، فهل يعود نصيبه إليه لكونه أقرب الناس إليه، أم لاظ يخرّج على ما قبلها</w:t>
      </w:r>
      <w:r w:rsidR="00890CB0" w:rsidRPr="0046333C">
        <w:rPr>
          <w:rFonts w:hint="cs"/>
          <w:vertAlign w:val="superscript"/>
          <w:rtl/>
          <w:lang w:bidi="ar-EG"/>
        </w:rPr>
        <w:t>(</w:t>
      </w:r>
      <w:r w:rsidR="00890CB0" w:rsidRPr="0046333C">
        <w:rPr>
          <w:vertAlign w:val="superscript"/>
          <w:rtl/>
        </w:rPr>
        <w:footnoteReference w:id="95"/>
      </w:r>
      <w:r w:rsidR="00890CB0" w:rsidRPr="0046333C">
        <w:rPr>
          <w:rFonts w:hint="cs"/>
          <w:vertAlign w:val="superscript"/>
          <w:rtl/>
          <w:lang w:bidi="ar-EG"/>
        </w:rPr>
        <w:t>)</w:t>
      </w:r>
      <w:r w:rsidR="00890CB0">
        <w:rPr>
          <w:rFonts w:hint="cs"/>
          <w:rtl/>
          <w:lang w:bidi="ar-EG"/>
        </w:rPr>
        <w:t>.</w:t>
      </w:r>
    </w:p>
    <w:p w14:paraId="0036ECC0" w14:textId="1DA0DFBE" w:rsidR="00890CB0" w:rsidRDefault="00890CB0" w:rsidP="00890CB0">
      <w:pPr>
        <w:rPr>
          <w:rtl/>
          <w:lang w:bidi="ar-EG"/>
        </w:rPr>
      </w:pPr>
      <w:r>
        <w:rPr>
          <w:rFonts w:hint="cs"/>
          <w:rtl/>
          <w:lang w:bidi="ar-EG"/>
        </w:rPr>
        <w:t>وترى الدراسة الماثلة أن القياس الصحيح يسمح بدخول صور لا حصر لها تحت هذا القول: منها ما لو وقف على علماء الأزهر، وأصبح منهم، وما لو وقف على مرضى السرطان، فكان منهم</w:t>
      </w:r>
      <w:r w:rsidRPr="0046333C">
        <w:rPr>
          <w:rFonts w:hint="cs"/>
          <w:vertAlign w:val="superscript"/>
          <w:rtl/>
          <w:lang w:bidi="ar-EG"/>
        </w:rPr>
        <w:t>(</w:t>
      </w:r>
      <w:r w:rsidRPr="0046333C">
        <w:rPr>
          <w:vertAlign w:val="superscript"/>
          <w:rtl/>
        </w:rPr>
        <w:footnoteReference w:id="96"/>
      </w:r>
      <w:r w:rsidRPr="0046333C">
        <w:rPr>
          <w:rFonts w:hint="cs"/>
          <w:vertAlign w:val="superscript"/>
          <w:rtl/>
          <w:lang w:bidi="ar-EG"/>
        </w:rPr>
        <w:t>)</w:t>
      </w:r>
      <w:r>
        <w:rPr>
          <w:rFonts w:hint="cs"/>
          <w:rtl/>
          <w:lang w:bidi="ar-EG"/>
        </w:rPr>
        <w:t>.</w:t>
      </w:r>
    </w:p>
    <w:p w14:paraId="7592DC08" w14:textId="77777777" w:rsidR="00DB4ECF" w:rsidRDefault="00DB4ECF" w:rsidP="00DB4ECF">
      <w:pPr>
        <w:pStyle w:val="ListParagraph"/>
        <w:numPr>
          <w:ilvl w:val="0"/>
          <w:numId w:val="34"/>
        </w:numPr>
        <w:ind w:left="567" w:hanging="567"/>
        <w:rPr>
          <w:lang w:bidi="ar-EG"/>
        </w:rPr>
      </w:pPr>
      <w:r>
        <w:rPr>
          <w:rFonts w:hint="cs"/>
          <w:rtl/>
          <w:lang w:bidi="ar-EG"/>
        </w:rPr>
        <w:t>ويرى جمهور فقهاء الحنفية وبعض الشافعية والحنابلة عدم استحقاق الواقف للأخذ من وقفه، وعدم دخوله في الموقوف عليهم وذلك لعموم الأدلة المانعة من الوقف على النفس ومن استثناء الواقف لمنافع وقفه.</w:t>
      </w:r>
    </w:p>
    <w:p w14:paraId="68834B80" w14:textId="57915423" w:rsidR="00890CB0" w:rsidRDefault="00890CB0" w:rsidP="00890CB0">
      <w:pPr>
        <w:rPr>
          <w:rtl/>
          <w:lang w:bidi="ar-EG"/>
        </w:rPr>
      </w:pPr>
      <w:r w:rsidRPr="00890CB0">
        <w:rPr>
          <w:rStyle w:val="Heading2Char"/>
          <w:rFonts w:hint="cs"/>
          <w:rtl/>
        </w:rPr>
        <w:t>الرأي الراجح:</w:t>
      </w:r>
      <w:r>
        <w:rPr>
          <w:rFonts w:hint="cs"/>
          <w:rtl/>
          <w:lang w:bidi="ar-EG"/>
        </w:rPr>
        <w:t xml:space="preserve"> ترجح الدراسة الماثلة للقول باستحقاق الواقف لريع أو لجزء من ريع وقفه إذا شمله وصف الموقوف عليهم، ويمكن الاستدلال على ذلك بما رواه الترمذي بسنده عن ثَمَامَة بن حَزْن القُشَيْرىّ أنه سمع سيدنا عثمان بن عفان يقول للذين حاصروه قبل قتله: أنشدكم بالله والإسلام هل تعلمون أن رسول الله </w:t>
      </w:r>
      <w:r>
        <w:rPr>
          <w:lang w:bidi="ar-EG"/>
        </w:rPr>
        <w:sym w:font="AGA Arabesque" w:char="F072"/>
      </w:r>
      <w:r>
        <w:rPr>
          <w:rFonts w:hint="cs"/>
          <w:rtl/>
          <w:lang w:bidi="ar-EG"/>
        </w:rPr>
        <w:t xml:space="preserve"> قدم المدينة وليس بها ماءٌ يُسْتعذب غيرَ بئر رُمة فقال: من يشتري بئرَ رومة فيجعل دَلْوَهُ مع دِلاءِ المسلمين نجيز له منها في الجنة فاشتريها من صلب مالي، فأنتم اليوم تمنعوني أن أشرب </w:t>
      </w:r>
      <w:r>
        <w:rPr>
          <w:rFonts w:hint="cs"/>
          <w:rtl/>
          <w:lang w:bidi="ar-EG"/>
        </w:rPr>
        <w:lastRenderedPageBreak/>
        <w:t>منها...</w:t>
      </w:r>
      <w:r w:rsidRPr="00890CB0">
        <w:rPr>
          <w:rFonts w:hint="cs"/>
          <w:vertAlign w:val="superscript"/>
          <w:rtl/>
          <w:lang w:bidi="ar-EG"/>
        </w:rPr>
        <w:t xml:space="preserve"> </w:t>
      </w:r>
      <w:r w:rsidRPr="0046333C">
        <w:rPr>
          <w:rFonts w:hint="cs"/>
          <w:vertAlign w:val="superscript"/>
          <w:rtl/>
          <w:lang w:bidi="ar-EG"/>
        </w:rPr>
        <w:t>(</w:t>
      </w:r>
      <w:r w:rsidRPr="0046333C">
        <w:rPr>
          <w:vertAlign w:val="superscript"/>
          <w:rtl/>
        </w:rPr>
        <w:footnoteReference w:id="97"/>
      </w:r>
      <w:r w:rsidRPr="0046333C">
        <w:rPr>
          <w:rFonts w:hint="cs"/>
          <w:vertAlign w:val="superscript"/>
          <w:rtl/>
          <w:lang w:bidi="ar-EG"/>
        </w:rPr>
        <w:t>)</w:t>
      </w:r>
      <w:r>
        <w:rPr>
          <w:rFonts w:hint="cs"/>
          <w:rtl/>
          <w:lang w:bidi="ar-EG"/>
        </w:rPr>
        <w:t xml:space="preserve"> وقصة هذه البئر كما ذكرها ابن حجر في فتح الباري قال: لما قدم المهاجرون المدينة استنكروا الماء، وكانت لرجل من بني غِفَار عيْن يقال لها رُومة، وكان يبيع منها القِرْبة بِمُدٍّ، فقال له النبي </w:t>
      </w:r>
      <w:r>
        <w:rPr>
          <w:lang w:bidi="ar-EG"/>
        </w:rPr>
        <w:sym w:font="AGA Arabesque" w:char="F072"/>
      </w:r>
      <w:r>
        <w:rPr>
          <w:rFonts w:hint="cs"/>
          <w:rtl/>
          <w:lang w:bidi="ar-EG"/>
        </w:rPr>
        <w:t xml:space="preserve">: تبيعينها لعين في الجنة؟ فقال: يا رسول الله، ليس لي ولا لعيالي غيرها، فبلغ ذلك عثمان فاشتراها بخمسة وثلاثين ألف درهم، ثم أتى النبي </w:t>
      </w:r>
      <w:r>
        <w:rPr>
          <w:lang w:bidi="ar-EG"/>
        </w:rPr>
        <w:sym w:font="AGA Arabesque" w:char="F072"/>
      </w:r>
      <w:r>
        <w:rPr>
          <w:rFonts w:hint="cs"/>
          <w:rtl/>
          <w:lang w:bidi="ar-EG"/>
        </w:rPr>
        <w:t xml:space="preserve"> فقال: أتجعل لي فيها ما جعلت له قال: نعم، قال قد جعلتها للمسلمين</w:t>
      </w:r>
      <w:r w:rsidRPr="0046333C">
        <w:rPr>
          <w:rFonts w:hint="cs"/>
          <w:vertAlign w:val="superscript"/>
          <w:rtl/>
          <w:lang w:bidi="ar-EG"/>
        </w:rPr>
        <w:t>(</w:t>
      </w:r>
      <w:r w:rsidRPr="0046333C">
        <w:rPr>
          <w:vertAlign w:val="superscript"/>
          <w:rtl/>
        </w:rPr>
        <w:footnoteReference w:id="98"/>
      </w:r>
      <w:r w:rsidRPr="0046333C">
        <w:rPr>
          <w:rFonts w:hint="cs"/>
          <w:vertAlign w:val="superscript"/>
          <w:rtl/>
          <w:lang w:bidi="ar-EG"/>
        </w:rPr>
        <w:t>)</w:t>
      </w:r>
      <w:r>
        <w:rPr>
          <w:rFonts w:hint="cs"/>
          <w:rtl/>
          <w:lang w:bidi="ar-EG"/>
        </w:rPr>
        <w:t>.</w:t>
      </w:r>
    </w:p>
    <w:p w14:paraId="37D57108" w14:textId="4BB91223" w:rsidR="00890CB0" w:rsidRPr="00890CB0" w:rsidRDefault="00890CB0" w:rsidP="00890CB0">
      <w:pPr>
        <w:rPr>
          <w:lang w:bidi="ar-EG"/>
        </w:rPr>
      </w:pPr>
      <w:r>
        <w:rPr>
          <w:rFonts w:hint="cs"/>
          <w:rtl/>
          <w:lang w:bidi="ar-EG"/>
        </w:rPr>
        <w:t>ووجه الدلالة من هذا الحديث كما يذكر بن حجر في ترجمة الباب قال: هذه الترجمة معقودة لمن يشترط لنفسه من وقفه منفعة، وقد قيّد بعض العلماء الجواز بما إذا كانت المنفعة عامة (أيّ بما إذا كان الواقف يدخل في عموم المنتفعين بالوقف).</w:t>
      </w:r>
    </w:p>
    <w:p w14:paraId="695F7253" w14:textId="604A0BDF" w:rsidR="00C850C3" w:rsidRDefault="00DB4ECF" w:rsidP="00DB4ECF">
      <w:pPr>
        <w:pStyle w:val="ListParagraph"/>
        <w:numPr>
          <w:ilvl w:val="0"/>
          <w:numId w:val="35"/>
        </w:numPr>
        <w:ind w:left="567" w:hanging="567"/>
        <w:rPr>
          <w:lang w:bidi="ar-EG"/>
        </w:rPr>
      </w:pPr>
      <w:r>
        <w:rPr>
          <w:rFonts w:hint="cs"/>
          <w:rtl/>
          <w:lang w:bidi="ar-EG"/>
        </w:rPr>
        <w:t>كما يمكن الاستدلال على ذلك بما قاله ابن حجر في فتح الباري في معرض شرحه لحديث وقف أمير المؤمنين عمر بن الخطاب رضي الله عنه حيث قال:</w:t>
      </w:r>
    </w:p>
    <w:p w14:paraId="568323C2" w14:textId="2A9B6E89" w:rsidR="00DB4ECF" w:rsidRPr="00DB4ECF" w:rsidRDefault="00DB4ECF" w:rsidP="00DB4ECF">
      <w:pPr>
        <w:pStyle w:val="ListParagraph"/>
        <w:numPr>
          <w:ilvl w:val="0"/>
          <w:numId w:val="36"/>
        </w:numPr>
        <w:ind w:left="1134" w:hanging="567"/>
        <w:rPr>
          <w:sz w:val="32"/>
          <w:szCs w:val="32"/>
          <w:lang w:bidi="ar-EG"/>
        </w:rPr>
      </w:pPr>
      <w:r w:rsidRPr="00DB4ECF">
        <w:rPr>
          <w:rFonts w:hint="cs"/>
          <w:rtl/>
          <w:lang w:bidi="ar-EG"/>
        </w:rPr>
        <w:t>للواقف أن يشترط لنفسه جزءًا من ريع الموقوف، لأن عمر شرط لمن وَرلىَ</w:t>
      </w:r>
      <w:r>
        <w:rPr>
          <w:rFonts w:hint="cs"/>
          <w:rtl/>
          <w:lang w:bidi="ar-EG"/>
        </w:rPr>
        <w:t xml:space="preserve"> وقفه أن يأكل منه بالمعروف، ولم يستثنى إن كان هو الناظر أو غيره، فدلّ على صحة الشرط، وإذا جاز في المبهم الذي تعينّه العادة كان فيما يعيّنه هوَ أجوز.</w:t>
      </w:r>
    </w:p>
    <w:p w14:paraId="2FBEDACC" w14:textId="2B642F5B" w:rsidR="00DB4ECF" w:rsidRDefault="00DB4ECF" w:rsidP="00DB4ECF">
      <w:pPr>
        <w:pStyle w:val="ListParagraph"/>
        <w:numPr>
          <w:ilvl w:val="0"/>
          <w:numId w:val="36"/>
        </w:numPr>
        <w:ind w:left="1134" w:hanging="567"/>
        <w:rPr>
          <w:lang w:bidi="ar-EG"/>
        </w:rPr>
      </w:pPr>
      <w:r>
        <w:rPr>
          <w:rFonts w:hint="cs"/>
          <w:rtl/>
          <w:lang w:bidi="ar-EG"/>
        </w:rPr>
        <w:lastRenderedPageBreak/>
        <w:t xml:space="preserve">ويستنبط </w:t>
      </w:r>
      <w:r w:rsidRPr="00DB4ECF">
        <w:rPr>
          <w:rFonts w:hint="cs"/>
          <w:rtl/>
          <w:lang w:bidi="ar-EG"/>
        </w:rPr>
        <w:t>منه</w:t>
      </w:r>
      <w:r>
        <w:rPr>
          <w:rFonts w:hint="cs"/>
          <w:rtl/>
          <w:lang w:bidi="ar-EG"/>
        </w:rPr>
        <w:t>: صحة الوقف على النفس، وهو قول ابن أبي ليلي وأبي يوسف وأحمد في الأرجح عنه، وقال به من المالكية ابن شعبان، ومن الشافعية ابن سُرَيج وطائفه</w:t>
      </w:r>
      <w:r w:rsidRPr="0046333C">
        <w:rPr>
          <w:rFonts w:hint="cs"/>
          <w:vertAlign w:val="superscript"/>
          <w:rtl/>
          <w:lang w:bidi="ar-EG"/>
        </w:rPr>
        <w:t>(</w:t>
      </w:r>
      <w:r w:rsidRPr="0046333C">
        <w:rPr>
          <w:vertAlign w:val="superscript"/>
          <w:rtl/>
        </w:rPr>
        <w:footnoteReference w:id="99"/>
      </w:r>
      <w:r w:rsidRPr="0046333C">
        <w:rPr>
          <w:rFonts w:hint="cs"/>
          <w:vertAlign w:val="superscript"/>
          <w:rtl/>
          <w:lang w:bidi="ar-EG"/>
        </w:rPr>
        <w:t>)</w:t>
      </w:r>
      <w:r>
        <w:rPr>
          <w:rFonts w:hint="cs"/>
          <w:rtl/>
          <w:lang w:bidi="ar-EG"/>
        </w:rPr>
        <w:t>.</w:t>
      </w:r>
    </w:p>
    <w:p w14:paraId="18433958" w14:textId="650D69CC" w:rsidR="00DB4ECF" w:rsidRPr="00DB4ECF" w:rsidRDefault="00DB4ECF" w:rsidP="00DB4ECF">
      <w:pPr>
        <w:pStyle w:val="ListParagraph"/>
        <w:numPr>
          <w:ilvl w:val="0"/>
          <w:numId w:val="36"/>
        </w:numPr>
        <w:ind w:left="1134" w:hanging="567"/>
        <w:rPr>
          <w:lang w:bidi="ar-EG"/>
        </w:rPr>
      </w:pPr>
      <w:r>
        <w:rPr>
          <w:rFonts w:hint="cs"/>
          <w:rtl/>
          <w:lang w:bidi="ar-EG"/>
        </w:rPr>
        <w:t>كما قال ابن حجر: ووقف أنس (بن مالك) دارا فكان إذا قَدمَ نَزَلها، والمعنى أن أَنَسًا وقف دارًا له بالمدينة، فكان إذا حجّ مرّ بالمدينة فَنَزَل داره، وهو مواقف لما تقدم عن المالكية أنه يجوز أن يقف الدار ويستثني لنفسه منها بَيْيتًا</w:t>
      </w:r>
      <w:r w:rsidRPr="0046333C">
        <w:rPr>
          <w:rFonts w:hint="cs"/>
          <w:vertAlign w:val="superscript"/>
          <w:rtl/>
          <w:lang w:bidi="ar-EG"/>
        </w:rPr>
        <w:t>(</w:t>
      </w:r>
      <w:r w:rsidRPr="0046333C">
        <w:rPr>
          <w:vertAlign w:val="superscript"/>
          <w:rtl/>
        </w:rPr>
        <w:footnoteReference w:id="100"/>
      </w:r>
      <w:r w:rsidRPr="0046333C">
        <w:rPr>
          <w:rFonts w:hint="cs"/>
          <w:vertAlign w:val="superscript"/>
          <w:rtl/>
          <w:lang w:bidi="ar-EG"/>
        </w:rPr>
        <w:t>)</w:t>
      </w:r>
      <w:r>
        <w:rPr>
          <w:rFonts w:hint="cs"/>
          <w:rtl/>
          <w:lang w:bidi="ar-EG"/>
        </w:rPr>
        <w:t>.</w:t>
      </w:r>
    </w:p>
    <w:p w14:paraId="014A070E" w14:textId="719C546F" w:rsidR="00DB4ECF" w:rsidRDefault="00DB4ECF" w:rsidP="00DB4ECF">
      <w:pPr>
        <w:pStyle w:val="ListParagraph"/>
        <w:numPr>
          <w:ilvl w:val="0"/>
          <w:numId w:val="35"/>
        </w:numPr>
        <w:ind w:left="567" w:hanging="567"/>
        <w:rPr>
          <w:lang w:bidi="ar-EG"/>
        </w:rPr>
      </w:pPr>
      <w:r>
        <w:rPr>
          <w:rFonts w:hint="cs"/>
          <w:rtl/>
          <w:lang w:bidi="ar-EG"/>
        </w:rPr>
        <w:t>أن الواقف إذا وقف مسجدًا أو مقبرة في محل إقامته، كان له الصلاة في المسجد وأن يدفن في المقربة كواحد من المقيمين في محل الوقف وذلك لدخوله في عموم المنتفعين به.</w:t>
      </w:r>
    </w:p>
    <w:p w14:paraId="215A4155" w14:textId="35BEFC4F" w:rsidR="00DB4ECF" w:rsidRDefault="00DB4ECF" w:rsidP="00DB4ECF">
      <w:pPr>
        <w:ind w:firstLine="0"/>
        <w:jc w:val="center"/>
        <w:rPr>
          <w:rtl/>
          <w:lang w:bidi="ar-EG"/>
        </w:rPr>
      </w:pPr>
      <w:r>
        <w:rPr>
          <w:rFonts w:hint="cs"/>
          <w:rtl/>
          <w:lang w:bidi="ar-EG"/>
        </w:rPr>
        <w:t>وبعــــــــــــــــــــد</w:t>
      </w:r>
    </w:p>
    <w:p w14:paraId="39D7531A" w14:textId="5C861EA3" w:rsidR="00DB4ECF" w:rsidRPr="00DB4ECF" w:rsidRDefault="00DB4ECF" w:rsidP="00DB4ECF">
      <w:pPr>
        <w:ind w:firstLine="0"/>
        <w:rPr>
          <w:b/>
          <w:bCs/>
          <w:rtl/>
          <w:lang w:bidi="ar-EG"/>
        </w:rPr>
      </w:pPr>
      <w:r w:rsidRPr="00DB4ECF">
        <w:rPr>
          <w:rFonts w:hint="cs"/>
          <w:b/>
          <w:bCs/>
          <w:rtl/>
          <w:lang w:bidi="ar-EG"/>
        </w:rPr>
        <w:t>فإن الدراسة الماثلة ترجح ما يلي:</w:t>
      </w:r>
    </w:p>
    <w:p w14:paraId="0BD3A10C" w14:textId="1519B6B4" w:rsidR="00DB4ECF" w:rsidRDefault="00DB4ECF" w:rsidP="00DB4ECF">
      <w:pPr>
        <w:pStyle w:val="ListParagraph"/>
        <w:numPr>
          <w:ilvl w:val="0"/>
          <w:numId w:val="37"/>
        </w:numPr>
        <w:ind w:left="567" w:hanging="567"/>
        <w:rPr>
          <w:lang w:bidi="ar-EG"/>
        </w:rPr>
      </w:pPr>
      <w:r>
        <w:rPr>
          <w:rFonts w:hint="cs"/>
          <w:rtl/>
          <w:lang w:bidi="ar-EG"/>
        </w:rPr>
        <w:t>صحة وجواز الوقف على النفس.</w:t>
      </w:r>
    </w:p>
    <w:p w14:paraId="3168A6EF" w14:textId="61199D92" w:rsidR="00DB4ECF" w:rsidRDefault="00DB4ECF" w:rsidP="00DB4ECF">
      <w:pPr>
        <w:pStyle w:val="ListParagraph"/>
        <w:numPr>
          <w:ilvl w:val="0"/>
          <w:numId w:val="37"/>
        </w:numPr>
        <w:ind w:left="567" w:hanging="567"/>
        <w:rPr>
          <w:lang w:bidi="ar-EG"/>
        </w:rPr>
      </w:pPr>
      <w:r>
        <w:rPr>
          <w:rFonts w:hint="cs"/>
          <w:rtl/>
          <w:lang w:bidi="ar-EG"/>
        </w:rPr>
        <w:t>صحة وجواز استثناء كل أو بعض منافع المال الموقوف لخاصة الواقف ما تبقى له من العمر أو لمدة معينة تعود بعدها منافع الوقف إلى جهة البر التي اشترطها الواقف.</w:t>
      </w:r>
    </w:p>
    <w:p w14:paraId="684D9652" w14:textId="21A9FA4D" w:rsidR="00DB4ECF" w:rsidRDefault="00DB4ECF" w:rsidP="00DB4ECF">
      <w:pPr>
        <w:pStyle w:val="ListParagraph"/>
        <w:numPr>
          <w:ilvl w:val="0"/>
          <w:numId w:val="37"/>
        </w:numPr>
        <w:ind w:left="567" w:hanging="567"/>
        <w:rPr>
          <w:lang w:bidi="ar-EG"/>
        </w:rPr>
      </w:pPr>
      <w:r>
        <w:rPr>
          <w:rFonts w:hint="cs"/>
          <w:rtl/>
          <w:lang w:bidi="ar-EG"/>
        </w:rPr>
        <w:t>صحة وجواز دخول الواقف في عموم المستحقين إذا اتّصف بصفة الموقوف عليهم.</w:t>
      </w:r>
    </w:p>
    <w:p w14:paraId="1CECD4E1" w14:textId="70E9F4AE" w:rsidR="00B457C0" w:rsidRDefault="00B457C0">
      <w:pPr>
        <w:spacing w:before="0" w:after="120" w:line="240" w:lineRule="auto"/>
        <w:ind w:firstLine="0"/>
        <w:jc w:val="left"/>
        <w:rPr>
          <w:rtl/>
          <w:lang w:bidi="ar-EG"/>
        </w:rPr>
      </w:pPr>
      <w:r>
        <w:rPr>
          <w:rtl/>
          <w:lang w:bidi="ar-EG"/>
        </w:rPr>
        <w:br w:type="page"/>
      </w:r>
    </w:p>
    <w:p w14:paraId="6BD5A1C8" w14:textId="77777777" w:rsidR="00B457C0" w:rsidRPr="00B457C0" w:rsidRDefault="00B457C0" w:rsidP="00B457C0">
      <w:pPr>
        <w:spacing w:before="0" w:line="288" w:lineRule="auto"/>
        <w:ind w:firstLine="0"/>
        <w:jc w:val="center"/>
        <w:rPr>
          <w:rFonts w:ascii="Simplified Arabic" w:eastAsia="Calibri" w:hAnsi="Simplified Arabic" w:cs="PT Bold Heading"/>
          <w:sz w:val="36"/>
          <w:szCs w:val="36"/>
          <w:rtl/>
        </w:rPr>
      </w:pPr>
      <w:r w:rsidRPr="00B457C0">
        <w:rPr>
          <w:rFonts w:ascii="Simplified Arabic" w:eastAsia="Calibri" w:hAnsi="Simplified Arabic" w:cs="PT Bold Heading" w:hint="cs"/>
          <w:sz w:val="36"/>
          <w:szCs w:val="36"/>
          <w:rtl/>
        </w:rPr>
        <w:lastRenderedPageBreak/>
        <w:t xml:space="preserve">فهرس الموضوعات </w:t>
      </w:r>
    </w:p>
    <w:tbl>
      <w:tblPr>
        <w:tblStyle w:val="TableGrid1"/>
        <w:bidiVisual/>
        <w:tblW w:w="0" w:type="auto"/>
        <w:jc w:val="center"/>
        <w:tblLook w:val="04A0" w:firstRow="1" w:lastRow="0" w:firstColumn="1" w:lastColumn="0" w:noHBand="0" w:noVBand="1"/>
      </w:tblPr>
      <w:tblGrid>
        <w:gridCol w:w="6306"/>
        <w:gridCol w:w="1053"/>
      </w:tblGrid>
      <w:tr w:rsidR="00B457C0" w:rsidRPr="00B457C0" w14:paraId="4862E028" w14:textId="77777777" w:rsidTr="00B457C0">
        <w:trPr>
          <w:tblHeader/>
          <w:jc w:val="center"/>
        </w:trPr>
        <w:tc>
          <w:tcPr>
            <w:tcW w:w="6434" w:type="dxa"/>
            <w:shd w:val="clear" w:color="auto" w:fill="BFBFBF" w:themeFill="background1" w:themeFillShade="BF"/>
            <w:vAlign w:val="center"/>
          </w:tcPr>
          <w:p w14:paraId="5F6A1518" w14:textId="2D12CFF9" w:rsidR="00B457C0" w:rsidRPr="00B457C0" w:rsidRDefault="00B457C0" w:rsidP="00B457C0">
            <w:pPr>
              <w:spacing w:before="0"/>
              <w:ind w:firstLine="0"/>
              <w:jc w:val="center"/>
              <w:rPr>
                <w:rFonts w:eastAsia="Calibri"/>
                <w:b/>
                <w:bCs/>
              </w:rPr>
            </w:pPr>
            <w:r w:rsidRPr="00E64D3D">
              <w:rPr>
                <w:rFonts w:ascii="Cambria" w:hAnsi="Cambria" w:cs="Mohammad Bold Normal" w:hint="cs"/>
                <w:b/>
                <w:bCs/>
                <w:rtl/>
                <w:lang w:bidi="ar-EG"/>
              </w:rPr>
              <w:t>الموضـــــــــــــــــــــــــــــــــــــوع</w:t>
            </w:r>
          </w:p>
        </w:tc>
        <w:tc>
          <w:tcPr>
            <w:tcW w:w="925" w:type="dxa"/>
            <w:shd w:val="clear" w:color="auto" w:fill="BFBFBF" w:themeFill="background1" w:themeFillShade="BF"/>
            <w:vAlign w:val="center"/>
          </w:tcPr>
          <w:p w14:paraId="03B8174F" w14:textId="45C16158" w:rsidR="00B457C0" w:rsidRPr="00B457C0" w:rsidRDefault="00B457C0" w:rsidP="00B457C0">
            <w:pPr>
              <w:spacing w:before="0"/>
              <w:ind w:firstLine="0"/>
              <w:jc w:val="center"/>
              <w:rPr>
                <w:rFonts w:eastAsia="Calibri"/>
                <w:rtl/>
              </w:rPr>
            </w:pPr>
            <w:r w:rsidRPr="00E64D3D">
              <w:rPr>
                <w:rFonts w:cs="Mohammad Bold Normal" w:hint="cs"/>
                <w:b/>
                <w:bCs/>
                <w:rtl/>
              </w:rPr>
              <w:t>الصفحة</w:t>
            </w:r>
          </w:p>
        </w:tc>
      </w:tr>
      <w:tr w:rsidR="00B457C0" w:rsidRPr="00B457C0" w14:paraId="75287840" w14:textId="77777777" w:rsidTr="00B457C0">
        <w:trPr>
          <w:jc w:val="center"/>
        </w:trPr>
        <w:tc>
          <w:tcPr>
            <w:tcW w:w="6434" w:type="dxa"/>
          </w:tcPr>
          <w:p w14:paraId="7DAC6871" w14:textId="77777777" w:rsidR="00B457C0" w:rsidRPr="00B457C0" w:rsidRDefault="00B457C0" w:rsidP="00B457C0">
            <w:pPr>
              <w:bidi/>
              <w:spacing w:before="0"/>
              <w:ind w:firstLine="0"/>
              <w:jc w:val="both"/>
              <w:rPr>
                <w:rFonts w:eastAsia="Calibri"/>
                <w:b/>
                <w:bCs/>
                <w:rtl/>
              </w:rPr>
            </w:pPr>
            <w:r w:rsidRPr="00B457C0">
              <w:rPr>
                <w:rFonts w:eastAsia="Calibri"/>
                <w:b/>
                <w:bCs/>
                <w:rtl/>
              </w:rPr>
              <w:t xml:space="preserve">مقدمة في تعريف الوقف وأنواعه ومقاصده الشرعية </w:t>
            </w:r>
          </w:p>
        </w:tc>
        <w:tc>
          <w:tcPr>
            <w:tcW w:w="925" w:type="dxa"/>
          </w:tcPr>
          <w:p w14:paraId="5A2FC1BE" w14:textId="77777777" w:rsidR="00B457C0" w:rsidRPr="00B457C0" w:rsidRDefault="00B457C0" w:rsidP="00B457C0">
            <w:pPr>
              <w:bidi/>
              <w:spacing w:before="0"/>
              <w:ind w:firstLine="0"/>
              <w:jc w:val="both"/>
              <w:rPr>
                <w:rFonts w:eastAsia="Calibri"/>
                <w:rtl/>
              </w:rPr>
            </w:pPr>
          </w:p>
        </w:tc>
      </w:tr>
      <w:tr w:rsidR="00B457C0" w:rsidRPr="00B457C0" w14:paraId="37EBE95E" w14:textId="77777777" w:rsidTr="00B457C0">
        <w:trPr>
          <w:jc w:val="center"/>
        </w:trPr>
        <w:tc>
          <w:tcPr>
            <w:tcW w:w="6434" w:type="dxa"/>
          </w:tcPr>
          <w:p w14:paraId="2C9A3479" w14:textId="77777777" w:rsidR="00B457C0" w:rsidRPr="00B457C0" w:rsidRDefault="00B457C0" w:rsidP="00B457C0">
            <w:pPr>
              <w:bidi/>
              <w:spacing w:before="0"/>
              <w:ind w:firstLine="0"/>
              <w:jc w:val="both"/>
              <w:rPr>
                <w:rFonts w:eastAsia="Calibri" w:hint="cs"/>
                <w:b/>
                <w:bCs/>
                <w:rtl/>
              </w:rPr>
            </w:pPr>
            <w:r w:rsidRPr="00B457C0">
              <w:rPr>
                <w:rFonts w:eastAsia="Calibri"/>
                <w:b/>
                <w:bCs/>
                <w:rtl/>
              </w:rPr>
              <w:t xml:space="preserve">الفصل الأول: التعريف بمصطلحات البحث وتحرير محل النزاع فيها </w:t>
            </w:r>
          </w:p>
        </w:tc>
        <w:tc>
          <w:tcPr>
            <w:tcW w:w="925" w:type="dxa"/>
          </w:tcPr>
          <w:p w14:paraId="32DBDE4C" w14:textId="77777777" w:rsidR="00B457C0" w:rsidRPr="00B457C0" w:rsidRDefault="00B457C0" w:rsidP="00B457C0">
            <w:pPr>
              <w:bidi/>
              <w:spacing w:before="0"/>
              <w:ind w:firstLine="0"/>
              <w:jc w:val="both"/>
              <w:rPr>
                <w:rFonts w:eastAsia="Calibri"/>
                <w:rtl/>
              </w:rPr>
            </w:pPr>
          </w:p>
        </w:tc>
      </w:tr>
      <w:tr w:rsidR="00B457C0" w:rsidRPr="00B457C0" w14:paraId="17D044DE" w14:textId="77777777" w:rsidTr="00B457C0">
        <w:trPr>
          <w:jc w:val="center"/>
        </w:trPr>
        <w:tc>
          <w:tcPr>
            <w:tcW w:w="6434" w:type="dxa"/>
          </w:tcPr>
          <w:p w14:paraId="70649A3B" w14:textId="77777777" w:rsidR="00B457C0" w:rsidRPr="00B457C0" w:rsidRDefault="00B457C0" w:rsidP="00B457C0">
            <w:pPr>
              <w:bidi/>
              <w:spacing w:before="0"/>
              <w:ind w:firstLine="0"/>
              <w:jc w:val="both"/>
              <w:rPr>
                <w:rFonts w:eastAsia="Calibri"/>
                <w:rtl/>
              </w:rPr>
            </w:pPr>
            <w:r w:rsidRPr="00B457C0">
              <w:rPr>
                <w:rFonts w:eastAsia="Calibri"/>
                <w:rtl/>
              </w:rPr>
              <w:t xml:space="preserve">المدلول اللغوي والاصطلاحي للنفس </w:t>
            </w:r>
          </w:p>
        </w:tc>
        <w:tc>
          <w:tcPr>
            <w:tcW w:w="925" w:type="dxa"/>
          </w:tcPr>
          <w:p w14:paraId="5E7DB687" w14:textId="77777777" w:rsidR="00B457C0" w:rsidRPr="00B457C0" w:rsidRDefault="00B457C0" w:rsidP="00B457C0">
            <w:pPr>
              <w:bidi/>
              <w:spacing w:before="0"/>
              <w:ind w:firstLine="0"/>
              <w:jc w:val="both"/>
              <w:rPr>
                <w:rFonts w:eastAsia="Calibri"/>
                <w:rtl/>
              </w:rPr>
            </w:pPr>
          </w:p>
        </w:tc>
      </w:tr>
      <w:tr w:rsidR="00B457C0" w:rsidRPr="00B457C0" w14:paraId="14CFFAAE" w14:textId="77777777" w:rsidTr="00B457C0">
        <w:trPr>
          <w:jc w:val="center"/>
        </w:trPr>
        <w:tc>
          <w:tcPr>
            <w:tcW w:w="6434" w:type="dxa"/>
          </w:tcPr>
          <w:p w14:paraId="2BEEBABD" w14:textId="77777777" w:rsidR="00B457C0" w:rsidRPr="00B457C0" w:rsidRDefault="00B457C0" w:rsidP="00B457C0">
            <w:pPr>
              <w:bidi/>
              <w:spacing w:before="0"/>
              <w:ind w:firstLine="0"/>
              <w:jc w:val="both"/>
              <w:rPr>
                <w:rFonts w:eastAsia="Calibri"/>
                <w:rtl/>
              </w:rPr>
            </w:pPr>
            <w:r w:rsidRPr="00B457C0">
              <w:rPr>
                <w:rFonts w:eastAsia="Calibri"/>
                <w:rtl/>
              </w:rPr>
              <w:t>أهمية النفس في صلة الإنسان بربه</w:t>
            </w:r>
          </w:p>
        </w:tc>
        <w:tc>
          <w:tcPr>
            <w:tcW w:w="925" w:type="dxa"/>
          </w:tcPr>
          <w:p w14:paraId="007EA015" w14:textId="77777777" w:rsidR="00B457C0" w:rsidRPr="00B457C0" w:rsidRDefault="00B457C0" w:rsidP="00B457C0">
            <w:pPr>
              <w:bidi/>
              <w:spacing w:before="0"/>
              <w:ind w:firstLine="0"/>
              <w:jc w:val="both"/>
              <w:rPr>
                <w:rFonts w:eastAsia="Calibri"/>
                <w:rtl/>
              </w:rPr>
            </w:pPr>
          </w:p>
        </w:tc>
      </w:tr>
      <w:tr w:rsidR="00B457C0" w:rsidRPr="00B457C0" w14:paraId="15170189" w14:textId="77777777" w:rsidTr="00B457C0">
        <w:trPr>
          <w:jc w:val="center"/>
        </w:trPr>
        <w:tc>
          <w:tcPr>
            <w:tcW w:w="6434" w:type="dxa"/>
          </w:tcPr>
          <w:p w14:paraId="09D0AFC5" w14:textId="77777777" w:rsidR="00B457C0" w:rsidRPr="00B457C0" w:rsidRDefault="00B457C0" w:rsidP="00B457C0">
            <w:pPr>
              <w:bidi/>
              <w:spacing w:before="0"/>
              <w:ind w:firstLine="0"/>
              <w:jc w:val="both"/>
              <w:rPr>
                <w:rFonts w:eastAsia="Calibri"/>
                <w:rtl/>
              </w:rPr>
            </w:pPr>
            <w:r w:rsidRPr="00B457C0">
              <w:rPr>
                <w:rFonts w:eastAsia="Calibri"/>
                <w:rtl/>
              </w:rPr>
              <w:t xml:space="preserve">البيان القرآني لأنواع النفوس </w:t>
            </w:r>
          </w:p>
        </w:tc>
        <w:tc>
          <w:tcPr>
            <w:tcW w:w="925" w:type="dxa"/>
          </w:tcPr>
          <w:p w14:paraId="25F3CD48" w14:textId="77777777" w:rsidR="00B457C0" w:rsidRPr="00B457C0" w:rsidRDefault="00B457C0" w:rsidP="00B457C0">
            <w:pPr>
              <w:bidi/>
              <w:spacing w:before="0"/>
              <w:ind w:firstLine="0"/>
              <w:jc w:val="both"/>
              <w:rPr>
                <w:rFonts w:eastAsia="Calibri"/>
                <w:rtl/>
              </w:rPr>
            </w:pPr>
          </w:p>
        </w:tc>
      </w:tr>
      <w:tr w:rsidR="00B457C0" w:rsidRPr="00B457C0" w14:paraId="2FB43245" w14:textId="77777777" w:rsidTr="00B457C0">
        <w:trPr>
          <w:jc w:val="center"/>
        </w:trPr>
        <w:tc>
          <w:tcPr>
            <w:tcW w:w="6434" w:type="dxa"/>
          </w:tcPr>
          <w:p w14:paraId="2EA2B3B5" w14:textId="77777777" w:rsidR="00B457C0" w:rsidRPr="00B457C0" w:rsidRDefault="00B457C0" w:rsidP="00B457C0">
            <w:pPr>
              <w:bidi/>
              <w:spacing w:before="0"/>
              <w:ind w:firstLine="0"/>
              <w:jc w:val="both"/>
              <w:rPr>
                <w:rFonts w:eastAsia="Calibri"/>
                <w:rtl/>
              </w:rPr>
            </w:pPr>
            <w:r w:rsidRPr="00B457C0">
              <w:rPr>
                <w:rFonts w:eastAsia="Calibri"/>
                <w:rtl/>
              </w:rPr>
              <w:t>منازل النفس</w:t>
            </w:r>
          </w:p>
        </w:tc>
        <w:tc>
          <w:tcPr>
            <w:tcW w:w="925" w:type="dxa"/>
          </w:tcPr>
          <w:p w14:paraId="32D4FB29" w14:textId="77777777" w:rsidR="00B457C0" w:rsidRPr="00B457C0" w:rsidRDefault="00B457C0" w:rsidP="00B457C0">
            <w:pPr>
              <w:bidi/>
              <w:spacing w:before="0"/>
              <w:ind w:firstLine="0"/>
              <w:jc w:val="both"/>
              <w:rPr>
                <w:rFonts w:eastAsia="Calibri"/>
                <w:rtl/>
              </w:rPr>
            </w:pPr>
          </w:p>
        </w:tc>
      </w:tr>
      <w:tr w:rsidR="00B457C0" w:rsidRPr="00B457C0" w14:paraId="11E9F48B" w14:textId="77777777" w:rsidTr="00B457C0">
        <w:trPr>
          <w:jc w:val="center"/>
        </w:trPr>
        <w:tc>
          <w:tcPr>
            <w:tcW w:w="6434" w:type="dxa"/>
          </w:tcPr>
          <w:p w14:paraId="2EF93F25" w14:textId="77777777" w:rsidR="00B457C0" w:rsidRPr="00B457C0" w:rsidRDefault="00B457C0" w:rsidP="00B457C0">
            <w:pPr>
              <w:bidi/>
              <w:spacing w:before="0"/>
              <w:ind w:firstLine="0"/>
              <w:jc w:val="both"/>
              <w:rPr>
                <w:rFonts w:eastAsia="Calibri"/>
                <w:rtl/>
              </w:rPr>
            </w:pPr>
            <w:r w:rsidRPr="00B457C0">
              <w:rPr>
                <w:rFonts w:eastAsia="Calibri"/>
                <w:rtl/>
              </w:rPr>
              <w:t xml:space="preserve">النفس والإنسان في منظور القرآن الكريم </w:t>
            </w:r>
          </w:p>
        </w:tc>
        <w:tc>
          <w:tcPr>
            <w:tcW w:w="925" w:type="dxa"/>
          </w:tcPr>
          <w:p w14:paraId="2AF847DF" w14:textId="77777777" w:rsidR="00B457C0" w:rsidRPr="00B457C0" w:rsidRDefault="00B457C0" w:rsidP="00B457C0">
            <w:pPr>
              <w:bidi/>
              <w:spacing w:before="0"/>
              <w:ind w:firstLine="0"/>
              <w:jc w:val="both"/>
              <w:rPr>
                <w:rFonts w:eastAsia="Calibri"/>
                <w:rtl/>
              </w:rPr>
            </w:pPr>
          </w:p>
        </w:tc>
      </w:tr>
      <w:tr w:rsidR="00B457C0" w:rsidRPr="00B457C0" w14:paraId="62A7A8FC" w14:textId="77777777" w:rsidTr="00B457C0">
        <w:trPr>
          <w:jc w:val="center"/>
        </w:trPr>
        <w:tc>
          <w:tcPr>
            <w:tcW w:w="6434" w:type="dxa"/>
          </w:tcPr>
          <w:p w14:paraId="57572F01" w14:textId="77777777" w:rsidR="00B457C0" w:rsidRPr="00B457C0" w:rsidRDefault="00B457C0" w:rsidP="00B457C0">
            <w:pPr>
              <w:bidi/>
              <w:spacing w:before="0"/>
              <w:ind w:firstLine="0"/>
              <w:jc w:val="both"/>
              <w:rPr>
                <w:rFonts w:eastAsia="Calibri"/>
                <w:rtl/>
              </w:rPr>
            </w:pPr>
            <w:r w:rsidRPr="00B457C0">
              <w:rPr>
                <w:rFonts w:eastAsia="Calibri"/>
                <w:rtl/>
              </w:rPr>
              <w:t xml:space="preserve">هل النفس هي ذات الإنسان </w:t>
            </w:r>
          </w:p>
        </w:tc>
        <w:tc>
          <w:tcPr>
            <w:tcW w:w="925" w:type="dxa"/>
          </w:tcPr>
          <w:p w14:paraId="46B32BE4" w14:textId="77777777" w:rsidR="00B457C0" w:rsidRPr="00B457C0" w:rsidRDefault="00B457C0" w:rsidP="00B457C0">
            <w:pPr>
              <w:bidi/>
              <w:spacing w:before="0"/>
              <w:ind w:firstLine="0"/>
              <w:jc w:val="both"/>
              <w:rPr>
                <w:rFonts w:eastAsia="Calibri"/>
                <w:rtl/>
              </w:rPr>
            </w:pPr>
          </w:p>
        </w:tc>
      </w:tr>
      <w:tr w:rsidR="00B457C0" w:rsidRPr="00B457C0" w14:paraId="0F6C4457" w14:textId="77777777" w:rsidTr="00B457C0">
        <w:trPr>
          <w:jc w:val="center"/>
        </w:trPr>
        <w:tc>
          <w:tcPr>
            <w:tcW w:w="6434" w:type="dxa"/>
          </w:tcPr>
          <w:p w14:paraId="550ABF9C" w14:textId="77777777" w:rsidR="00B457C0" w:rsidRPr="00B457C0" w:rsidRDefault="00B457C0" w:rsidP="00B457C0">
            <w:pPr>
              <w:bidi/>
              <w:spacing w:before="0"/>
              <w:ind w:firstLine="0"/>
              <w:jc w:val="both"/>
              <w:rPr>
                <w:rFonts w:eastAsia="Calibri"/>
                <w:rtl/>
              </w:rPr>
            </w:pPr>
            <w:r w:rsidRPr="00B457C0">
              <w:rPr>
                <w:rFonts w:eastAsia="Calibri"/>
                <w:rtl/>
              </w:rPr>
              <w:t>التعريف بالمصلحة</w:t>
            </w:r>
          </w:p>
        </w:tc>
        <w:tc>
          <w:tcPr>
            <w:tcW w:w="925" w:type="dxa"/>
          </w:tcPr>
          <w:p w14:paraId="1865AB60" w14:textId="77777777" w:rsidR="00B457C0" w:rsidRPr="00B457C0" w:rsidRDefault="00B457C0" w:rsidP="00B457C0">
            <w:pPr>
              <w:bidi/>
              <w:spacing w:before="0"/>
              <w:ind w:firstLine="0"/>
              <w:jc w:val="both"/>
              <w:rPr>
                <w:rFonts w:eastAsia="Calibri"/>
                <w:rtl/>
              </w:rPr>
            </w:pPr>
          </w:p>
        </w:tc>
      </w:tr>
      <w:tr w:rsidR="00B457C0" w:rsidRPr="00B457C0" w14:paraId="71C53EE9" w14:textId="77777777" w:rsidTr="00B457C0">
        <w:trPr>
          <w:jc w:val="center"/>
        </w:trPr>
        <w:tc>
          <w:tcPr>
            <w:tcW w:w="6434" w:type="dxa"/>
          </w:tcPr>
          <w:p w14:paraId="47867580" w14:textId="77777777" w:rsidR="00B457C0" w:rsidRPr="00B457C0" w:rsidRDefault="00B457C0" w:rsidP="00B457C0">
            <w:pPr>
              <w:bidi/>
              <w:spacing w:before="0"/>
              <w:ind w:firstLine="0"/>
              <w:jc w:val="both"/>
              <w:rPr>
                <w:rFonts w:eastAsia="Calibri"/>
                <w:rtl/>
              </w:rPr>
            </w:pPr>
            <w:r w:rsidRPr="00B457C0">
              <w:rPr>
                <w:rFonts w:eastAsia="Calibri"/>
                <w:rtl/>
              </w:rPr>
              <w:t xml:space="preserve">مكان الوقف في سلم المصالح </w:t>
            </w:r>
          </w:p>
        </w:tc>
        <w:tc>
          <w:tcPr>
            <w:tcW w:w="925" w:type="dxa"/>
          </w:tcPr>
          <w:p w14:paraId="0C569CAD" w14:textId="77777777" w:rsidR="00B457C0" w:rsidRPr="00B457C0" w:rsidRDefault="00B457C0" w:rsidP="00B457C0">
            <w:pPr>
              <w:bidi/>
              <w:spacing w:before="0"/>
              <w:ind w:firstLine="0"/>
              <w:jc w:val="both"/>
              <w:rPr>
                <w:rFonts w:eastAsia="Calibri"/>
                <w:rtl/>
              </w:rPr>
            </w:pPr>
          </w:p>
        </w:tc>
      </w:tr>
      <w:tr w:rsidR="00B457C0" w:rsidRPr="00B457C0" w14:paraId="30B85CCC" w14:textId="77777777" w:rsidTr="00B457C0">
        <w:trPr>
          <w:jc w:val="center"/>
        </w:trPr>
        <w:tc>
          <w:tcPr>
            <w:tcW w:w="6434" w:type="dxa"/>
          </w:tcPr>
          <w:p w14:paraId="370B54F9" w14:textId="77777777" w:rsidR="00B457C0" w:rsidRPr="00B457C0" w:rsidRDefault="00B457C0" w:rsidP="00B457C0">
            <w:pPr>
              <w:bidi/>
              <w:spacing w:before="0"/>
              <w:ind w:firstLine="0"/>
              <w:jc w:val="both"/>
              <w:rPr>
                <w:rFonts w:eastAsia="Calibri"/>
                <w:rtl/>
              </w:rPr>
            </w:pPr>
            <w:r w:rsidRPr="00B457C0">
              <w:rPr>
                <w:rFonts w:eastAsia="Calibri"/>
                <w:rtl/>
              </w:rPr>
              <w:t xml:space="preserve">المصالح العليا للأمة التي يمكن للوقف رعايتها </w:t>
            </w:r>
          </w:p>
        </w:tc>
        <w:tc>
          <w:tcPr>
            <w:tcW w:w="925" w:type="dxa"/>
          </w:tcPr>
          <w:p w14:paraId="48C7B6B0" w14:textId="77777777" w:rsidR="00B457C0" w:rsidRPr="00B457C0" w:rsidRDefault="00B457C0" w:rsidP="00B457C0">
            <w:pPr>
              <w:bidi/>
              <w:spacing w:before="0"/>
              <w:ind w:firstLine="0"/>
              <w:jc w:val="both"/>
              <w:rPr>
                <w:rFonts w:eastAsia="Calibri"/>
                <w:rtl/>
              </w:rPr>
            </w:pPr>
          </w:p>
        </w:tc>
      </w:tr>
      <w:tr w:rsidR="00B457C0" w:rsidRPr="00B457C0" w14:paraId="58586812" w14:textId="77777777" w:rsidTr="00B457C0">
        <w:trPr>
          <w:jc w:val="center"/>
        </w:trPr>
        <w:tc>
          <w:tcPr>
            <w:tcW w:w="6434" w:type="dxa"/>
          </w:tcPr>
          <w:p w14:paraId="2BCCD64D" w14:textId="77777777" w:rsidR="00B457C0" w:rsidRPr="00B457C0" w:rsidRDefault="00B457C0" w:rsidP="00B457C0">
            <w:pPr>
              <w:bidi/>
              <w:spacing w:before="0"/>
              <w:ind w:firstLine="0"/>
              <w:jc w:val="both"/>
              <w:rPr>
                <w:rFonts w:eastAsia="Calibri"/>
                <w:rtl/>
              </w:rPr>
            </w:pPr>
            <w:r w:rsidRPr="00B457C0">
              <w:rPr>
                <w:rFonts w:eastAsia="Calibri"/>
                <w:rtl/>
              </w:rPr>
              <w:t xml:space="preserve">الصناديق الوقفية وأنواعها </w:t>
            </w:r>
          </w:p>
        </w:tc>
        <w:tc>
          <w:tcPr>
            <w:tcW w:w="925" w:type="dxa"/>
          </w:tcPr>
          <w:p w14:paraId="6C4619CB" w14:textId="77777777" w:rsidR="00B457C0" w:rsidRPr="00B457C0" w:rsidRDefault="00B457C0" w:rsidP="00B457C0">
            <w:pPr>
              <w:bidi/>
              <w:spacing w:before="0"/>
              <w:ind w:firstLine="0"/>
              <w:jc w:val="both"/>
              <w:rPr>
                <w:rFonts w:eastAsia="Calibri"/>
                <w:rtl/>
              </w:rPr>
            </w:pPr>
          </w:p>
        </w:tc>
      </w:tr>
      <w:tr w:rsidR="00B457C0" w:rsidRPr="00B457C0" w14:paraId="083CFEEC" w14:textId="77777777" w:rsidTr="00B457C0">
        <w:trPr>
          <w:jc w:val="center"/>
        </w:trPr>
        <w:tc>
          <w:tcPr>
            <w:tcW w:w="6434" w:type="dxa"/>
          </w:tcPr>
          <w:p w14:paraId="529D66F6" w14:textId="77777777" w:rsidR="00B457C0" w:rsidRPr="00B457C0" w:rsidRDefault="00B457C0" w:rsidP="00B457C0">
            <w:pPr>
              <w:bidi/>
              <w:spacing w:before="0"/>
              <w:ind w:firstLine="0"/>
              <w:jc w:val="both"/>
              <w:rPr>
                <w:rFonts w:eastAsia="Calibri"/>
                <w:rtl/>
              </w:rPr>
            </w:pPr>
            <w:r w:rsidRPr="00B457C0">
              <w:rPr>
                <w:rFonts w:eastAsia="Calibri"/>
                <w:rtl/>
              </w:rPr>
              <w:t xml:space="preserve">التعريف بالمال </w:t>
            </w:r>
          </w:p>
        </w:tc>
        <w:tc>
          <w:tcPr>
            <w:tcW w:w="925" w:type="dxa"/>
          </w:tcPr>
          <w:p w14:paraId="7B83BED6" w14:textId="77777777" w:rsidR="00B457C0" w:rsidRPr="00B457C0" w:rsidRDefault="00B457C0" w:rsidP="00B457C0">
            <w:pPr>
              <w:bidi/>
              <w:spacing w:before="0"/>
              <w:ind w:firstLine="0"/>
              <w:jc w:val="both"/>
              <w:rPr>
                <w:rFonts w:eastAsia="Calibri"/>
                <w:rtl/>
              </w:rPr>
            </w:pPr>
          </w:p>
        </w:tc>
      </w:tr>
      <w:tr w:rsidR="00B457C0" w:rsidRPr="00B457C0" w14:paraId="6F3F897E" w14:textId="77777777" w:rsidTr="00B457C0">
        <w:trPr>
          <w:jc w:val="center"/>
        </w:trPr>
        <w:tc>
          <w:tcPr>
            <w:tcW w:w="6434" w:type="dxa"/>
          </w:tcPr>
          <w:p w14:paraId="270C5BDC" w14:textId="77777777" w:rsidR="00B457C0" w:rsidRPr="00B457C0" w:rsidRDefault="00B457C0" w:rsidP="00B457C0">
            <w:pPr>
              <w:bidi/>
              <w:spacing w:before="0"/>
              <w:ind w:firstLine="0"/>
              <w:jc w:val="both"/>
              <w:rPr>
                <w:rFonts w:eastAsia="Calibri"/>
                <w:rtl/>
              </w:rPr>
            </w:pPr>
            <w:r w:rsidRPr="00B457C0">
              <w:rPr>
                <w:rFonts w:eastAsia="Calibri"/>
                <w:rtl/>
              </w:rPr>
              <w:t xml:space="preserve">التعريف بالأعيان والمنافع والحقوق ومعايير التفرقة بينها </w:t>
            </w:r>
          </w:p>
        </w:tc>
        <w:tc>
          <w:tcPr>
            <w:tcW w:w="925" w:type="dxa"/>
          </w:tcPr>
          <w:p w14:paraId="202CBC46" w14:textId="77777777" w:rsidR="00B457C0" w:rsidRPr="00B457C0" w:rsidRDefault="00B457C0" w:rsidP="00B457C0">
            <w:pPr>
              <w:bidi/>
              <w:spacing w:before="0"/>
              <w:ind w:firstLine="0"/>
              <w:jc w:val="both"/>
              <w:rPr>
                <w:rFonts w:eastAsia="Calibri"/>
                <w:rtl/>
              </w:rPr>
            </w:pPr>
          </w:p>
        </w:tc>
      </w:tr>
      <w:tr w:rsidR="00B457C0" w:rsidRPr="00B457C0" w14:paraId="19524E04" w14:textId="77777777" w:rsidTr="00B457C0">
        <w:trPr>
          <w:jc w:val="center"/>
        </w:trPr>
        <w:tc>
          <w:tcPr>
            <w:tcW w:w="6434" w:type="dxa"/>
          </w:tcPr>
          <w:p w14:paraId="738A8C39" w14:textId="77777777" w:rsidR="00B457C0" w:rsidRPr="00B457C0" w:rsidRDefault="00B457C0" w:rsidP="00B457C0">
            <w:pPr>
              <w:bidi/>
              <w:spacing w:before="0"/>
              <w:ind w:firstLine="0"/>
              <w:jc w:val="both"/>
              <w:rPr>
                <w:rFonts w:eastAsia="Calibri"/>
                <w:rtl/>
              </w:rPr>
            </w:pPr>
            <w:r w:rsidRPr="00B457C0">
              <w:rPr>
                <w:rFonts w:eastAsia="Calibri"/>
                <w:rtl/>
              </w:rPr>
              <w:t xml:space="preserve">التعريف بالملك والملكية </w:t>
            </w:r>
          </w:p>
        </w:tc>
        <w:tc>
          <w:tcPr>
            <w:tcW w:w="925" w:type="dxa"/>
          </w:tcPr>
          <w:p w14:paraId="253264D0" w14:textId="77777777" w:rsidR="00B457C0" w:rsidRPr="00B457C0" w:rsidRDefault="00B457C0" w:rsidP="00B457C0">
            <w:pPr>
              <w:bidi/>
              <w:spacing w:before="0"/>
              <w:ind w:firstLine="0"/>
              <w:jc w:val="both"/>
              <w:rPr>
                <w:rFonts w:eastAsia="Calibri"/>
                <w:rtl/>
              </w:rPr>
            </w:pPr>
          </w:p>
        </w:tc>
      </w:tr>
      <w:tr w:rsidR="00B457C0" w:rsidRPr="00B457C0" w14:paraId="3936D3CB" w14:textId="77777777" w:rsidTr="00B457C0">
        <w:trPr>
          <w:jc w:val="center"/>
        </w:trPr>
        <w:tc>
          <w:tcPr>
            <w:tcW w:w="6434" w:type="dxa"/>
          </w:tcPr>
          <w:p w14:paraId="0587A9C0" w14:textId="77777777" w:rsidR="00B457C0" w:rsidRPr="00B457C0" w:rsidRDefault="00B457C0" w:rsidP="00B457C0">
            <w:pPr>
              <w:bidi/>
              <w:spacing w:before="0"/>
              <w:ind w:firstLine="0"/>
              <w:jc w:val="both"/>
              <w:rPr>
                <w:rFonts w:eastAsia="Calibri"/>
                <w:rtl/>
              </w:rPr>
            </w:pPr>
            <w:r w:rsidRPr="00B457C0">
              <w:rPr>
                <w:rFonts w:eastAsia="Calibri"/>
                <w:rtl/>
              </w:rPr>
              <w:t xml:space="preserve">خصائص ملكية الوقف لأمواله </w:t>
            </w:r>
          </w:p>
        </w:tc>
        <w:tc>
          <w:tcPr>
            <w:tcW w:w="925" w:type="dxa"/>
          </w:tcPr>
          <w:p w14:paraId="4087EA5D" w14:textId="77777777" w:rsidR="00B457C0" w:rsidRPr="00B457C0" w:rsidRDefault="00B457C0" w:rsidP="00B457C0">
            <w:pPr>
              <w:bidi/>
              <w:spacing w:before="0"/>
              <w:ind w:firstLine="0"/>
              <w:jc w:val="both"/>
              <w:rPr>
                <w:rFonts w:eastAsia="Calibri"/>
                <w:rtl/>
              </w:rPr>
            </w:pPr>
          </w:p>
        </w:tc>
      </w:tr>
      <w:tr w:rsidR="00B457C0" w:rsidRPr="00B457C0" w14:paraId="7FB25BD3" w14:textId="77777777" w:rsidTr="00B457C0">
        <w:trPr>
          <w:jc w:val="center"/>
        </w:trPr>
        <w:tc>
          <w:tcPr>
            <w:tcW w:w="6434" w:type="dxa"/>
          </w:tcPr>
          <w:p w14:paraId="0767DCB4" w14:textId="77777777" w:rsidR="00B457C0" w:rsidRPr="00B457C0" w:rsidRDefault="00B457C0" w:rsidP="00B457C0">
            <w:pPr>
              <w:bidi/>
              <w:spacing w:before="0"/>
              <w:ind w:firstLine="0"/>
              <w:jc w:val="both"/>
              <w:rPr>
                <w:rFonts w:eastAsia="Calibri"/>
                <w:b/>
                <w:bCs/>
                <w:rtl/>
              </w:rPr>
            </w:pPr>
            <w:r w:rsidRPr="00B457C0">
              <w:rPr>
                <w:rFonts w:eastAsia="Calibri"/>
                <w:b/>
                <w:bCs/>
                <w:rtl/>
              </w:rPr>
              <w:t>الفصل الثاني: مذاهب العلماء في الوقف على النفس</w:t>
            </w:r>
          </w:p>
        </w:tc>
        <w:tc>
          <w:tcPr>
            <w:tcW w:w="925" w:type="dxa"/>
          </w:tcPr>
          <w:p w14:paraId="368AA395" w14:textId="77777777" w:rsidR="00B457C0" w:rsidRPr="00B457C0" w:rsidRDefault="00B457C0" w:rsidP="00B457C0">
            <w:pPr>
              <w:bidi/>
              <w:spacing w:before="0"/>
              <w:ind w:firstLine="0"/>
              <w:jc w:val="both"/>
              <w:rPr>
                <w:rFonts w:eastAsia="Calibri"/>
                <w:rtl/>
              </w:rPr>
            </w:pPr>
          </w:p>
        </w:tc>
      </w:tr>
      <w:tr w:rsidR="00B457C0" w:rsidRPr="00B457C0" w14:paraId="7994BBC7" w14:textId="77777777" w:rsidTr="00B457C0">
        <w:trPr>
          <w:jc w:val="center"/>
        </w:trPr>
        <w:tc>
          <w:tcPr>
            <w:tcW w:w="6434" w:type="dxa"/>
          </w:tcPr>
          <w:p w14:paraId="78799F8A" w14:textId="77777777" w:rsidR="00B457C0" w:rsidRPr="00B457C0" w:rsidRDefault="00B457C0" w:rsidP="00B457C0">
            <w:pPr>
              <w:bidi/>
              <w:spacing w:before="0"/>
              <w:ind w:firstLine="0"/>
              <w:jc w:val="both"/>
              <w:rPr>
                <w:rFonts w:eastAsia="Calibri"/>
                <w:rtl/>
              </w:rPr>
            </w:pPr>
            <w:r w:rsidRPr="00B457C0">
              <w:rPr>
                <w:rFonts w:eastAsia="Calibri"/>
                <w:rtl/>
              </w:rPr>
              <w:t xml:space="preserve">تحرير محل النزاع </w:t>
            </w:r>
          </w:p>
        </w:tc>
        <w:tc>
          <w:tcPr>
            <w:tcW w:w="925" w:type="dxa"/>
          </w:tcPr>
          <w:p w14:paraId="6CEA74EE" w14:textId="77777777" w:rsidR="00B457C0" w:rsidRPr="00B457C0" w:rsidRDefault="00B457C0" w:rsidP="00B457C0">
            <w:pPr>
              <w:bidi/>
              <w:spacing w:before="0"/>
              <w:ind w:firstLine="0"/>
              <w:jc w:val="both"/>
              <w:rPr>
                <w:rFonts w:eastAsia="Calibri"/>
                <w:rtl/>
              </w:rPr>
            </w:pPr>
          </w:p>
        </w:tc>
      </w:tr>
      <w:tr w:rsidR="00B457C0" w:rsidRPr="00B457C0" w14:paraId="74D26B95" w14:textId="77777777" w:rsidTr="00B457C0">
        <w:trPr>
          <w:jc w:val="center"/>
        </w:trPr>
        <w:tc>
          <w:tcPr>
            <w:tcW w:w="6434" w:type="dxa"/>
          </w:tcPr>
          <w:p w14:paraId="59F4C218" w14:textId="77777777" w:rsidR="00B457C0" w:rsidRPr="00B457C0" w:rsidRDefault="00B457C0" w:rsidP="00B457C0">
            <w:pPr>
              <w:bidi/>
              <w:spacing w:before="0"/>
              <w:ind w:firstLine="0"/>
              <w:jc w:val="both"/>
              <w:rPr>
                <w:rFonts w:eastAsia="Calibri"/>
                <w:rtl/>
              </w:rPr>
            </w:pPr>
            <w:r w:rsidRPr="00B457C0">
              <w:rPr>
                <w:rFonts w:eastAsia="Calibri"/>
                <w:rtl/>
              </w:rPr>
              <w:t xml:space="preserve">اشتراطات الإمام أبو حنيفة في الواقف </w:t>
            </w:r>
          </w:p>
        </w:tc>
        <w:tc>
          <w:tcPr>
            <w:tcW w:w="925" w:type="dxa"/>
          </w:tcPr>
          <w:p w14:paraId="1DC6F5DA" w14:textId="77777777" w:rsidR="00B457C0" w:rsidRPr="00B457C0" w:rsidRDefault="00B457C0" w:rsidP="00B457C0">
            <w:pPr>
              <w:bidi/>
              <w:spacing w:before="0"/>
              <w:ind w:firstLine="0"/>
              <w:jc w:val="both"/>
              <w:rPr>
                <w:rFonts w:eastAsia="Calibri"/>
                <w:rtl/>
              </w:rPr>
            </w:pPr>
          </w:p>
        </w:tc>
      </w:tr>
      <w:tr w:rsidR="00B457C0" w:rsidRPr="00B457C0" w14:paraId="70342A11" w14:textId="77777777" w:rsidTr="00B457C0">
        <w:trPr>
          <w:jc w:val="center"/>
        </w:trPr>
        <w:tc>
          <w:tcPr>
            <w:tcW w:w="6434" w:type="dxa"/>
          </w:tcPr>
          <w:p w14:paraId="47762698" w14:textId="77777777" w:rsidR="00B457C0" w:rsidRPr="00B457C0" w:rsidRDefault="00B457C0" w:rsidP="00B457C0">
            <w:pPr>
              <w:bidi/>
              <w:spacing w:before="0"/>
              <w:ind w:firstLine="0"/>
              <w:jc w:val="both"/>
              <w:rPr>
                <w:rFonts w:eastAsia="Calibri"/>
                <w:rtl/>
              </w:rPr>
            </w:pPr>
            <w:r w:rsidRPr="00B457C0">
              <w:rPr>
                <w:rFonts w:eastAsia="Calibri"/>
                <w:rtl/>
              </w:rPr>
              <w:t xml:space="preserve">مذهب المالكية في الوقف على النفس </w:t>
            </w:r>
          </w:p>
        </w:tc>
        <w:tc>
          <w:tcPr>
            <w:tcW w:w="925" w:type="dxa"/>
          </w:tcPr>
          <w:p w14:paraId="1AB36B9D" w14:textId="77777777" w:rsidR="00B457C0" w:rsidRPr="00B457C0" w:rsidRDefault="00B457C0" w:rsidP="00B457C0">
            <w:pPr>
              <w:bidi/>
              <w:spacing w:before="0"/>
              <w:ind w:firstLine="0"/>
              <w:jc w:val="both"/>
              <w:rPr>
                <w:rFonts w:eastAsia="Calibri"/>
                <w:rtl/>
              </w:rPr>
            </w:pPr>
          </w:p>
        </w:tc>
      </w:tr>
      <w:tr w:rsidR="00B457C0" w:rsidRPr="00B457C0" w14:paraId="3EFD2FD7" w14:textId="77777777" w:rsidTr="00B457C0">
        <w:trPr>
          <w:jc w:val="center"/>
        </w:trPr>
        <w:tc>
          <w:tcPr>
            <w:tcW w:w="6434" w:type="dxa"/>
          </w:tcPr>
          <w:p w14:paraId="1C3ECBAF" w14:textId="77777777" w:rsidR="00B457C0" w:rsidRPr="00B457C0" w:rsidRDefault="00B457C0" w:rsidP="00B457C0">
            <w:pPr>
              <w:bidi/>
              <w:spacing w:before="0"/>
              <w:ind w:firstLine="0"/>
              <w:jc w:val="both"/>
              <w:rPr>
                <w:rFonts w:eastAsia="Calibri"/>
                <w:rtl/>
              </w:rPr>
            </w:pPr>
            <w:r w:rsidRPr="00B457C0">
              <w:rPr>
                <w:rFonts w:eastAsia="Calibri"/>
                <w:rtl/>
              </w:rPr>
              <w:t xml:space="preserve">مذهب الشافعية والحنابلة </w:t>
            </w:r>
          </w:p>
        </w:tc>
        <w:tc>
          <w:tcPr>
            <w:tcW w:w="925" w:type="dxa"/>
          </w:tcPr>
          <w:p w14:paraId="3018B5A4" w14:textId="77777777" w:rsidR="00B457C0" w:rsidRPr="00B457C0" w:rsidRDefault="00B457C0" w:rsidP="00B457C0">
            <w:pPr>
              <w:bidi/>
              <w:spacing w:before="0"/>
              <w:ind w:firstLine="0"/>
              <w:jc w:val="both"/>
              <w:rPr>
                <w:rFonts w:eastAsia="Calibri"/>
                <w:rtl/>
              </w:rPr>
            </w:pPr>
          </w:p>
        </w:tc>
      </w:tr>
      <w:tr w:rsidR="00B457C0" w:rsidRPr="00B457C0" w14:paraId="623DAF8A" w14:textId="77777777" w:rsidTr="00B457C0">
        <w:trPr>
          <w:jc w:val="center"/>
        </w:trPr>
        <w:tc>
          <w:tcPr>
            <w:tcW w:w="6434" w:type="dxa"/>
          </w:tcPr>
          <w:p w14:paraId="12212E17" w14:textId="77777777" w:rsidR="00B457C0" w:rsidRPr="00B457C0" w:rsidRDefault="00B457C0" w:rsidP="00B457C0">
            <w:pPr>
              <w:bidi/>
              <w:spacing w:before="0"/>
              <w:ind w:firstLine="0"/>
              <w:jc w:val="both"/>
              <w:rPr>
                <w:rFonts w:eastAsia="Calibri"/>
                <w:rtl/>
              </w:rPr>
            </w:pPr>
            <w:r w:rsidRPr="00B457C0">
              <w:rPr>
                <w:rFonts w:eastAsia="Calibri"/>
                <w:rtl/>
              </w:rPr>
              <w:lastRenderedPageBreak/>
              <w:t xml:space="preserve">مذهب الحنابلة فيمن وقف العين واستثنى منافعها لنفسه طيلة حياته </w:t>
            </w:r>
          </w:p>
        </w:tc>
        <w:tc>
          <w:tcPr>
            <w:tcW w:w="925" w:type="dxa"/>
          </w:tcPr>
          <w:p w14:paraId="1DF1D9D0" w14:textId="77777777" w:rsidR="00B457C0" w:rsidRPr="00B457C0" w:rsidRDefault="00B457C0" w:rsidP="00B457C0">
            <w:pPr>
              <w:bidi/>
              <w:spacing w:before="0"/>
              <w:ind w:firstLine="0"/>
              <w:jc w:val="both"/>
              <w:rPr>
                <w:rFonts w:eastAsia="Calibri"/>
                <w:rtl/>
              </w:rPr>
            </w:pPr>
          </w:p>
        </w:tc>
      </w:tr>
      <w:tr w:rsidR="00B457C0" w:rsidRPr="00B457C0" w14:paraId="0C64C3B5" w14:textId="77777777" w:rsidTr="00B457C0">
        <w:trPr>
          <w:jc w:val="center"/>
        </w:trPr>
        <w:tc>
          <w:tcPr>
            <w:tcW w:w="6434" w:type="dxa"/>
          </w:tcPr>
          <w:p w14:paraId="73843D10" w14:textId="77777777" w:rsidR="00B457C0" w:rsidRPr="00B457C0" w:rsidRDefault="00B457C0" w:rsidP="00B457C0">
            <w:pPr>
              <w:bidi/>
              <w:spacing w:before="0"/>
              <w:ind w:firstLine="0"/>
              <w:jc w:val="both"/>
              <w:rPr>
                <w:rFonts w:eastAsia="Calibri"/>
                <w:rtl/>
              </w:rPr>
            </w:pPr>
            <w:r w:rsidRPr="00B457C0">
              <w:rPr>
                <w:rFonts w:eastAsia="Calibri"/>
                <w:rtl/>
              </w:rPr>
              <w:t xml:space="preserve">من أقوال الفقهاء في جواز الوقف على النفس </w:t>
            </w:r>
          </w:p>
        </w:tc>
        <w:tc>
          <w:tcPr>
            <w:tcW w:w="925" w:type="dxa"/>
          </w:tcPr>
          <w:p w14:paraId="33277949" w14:textId="77777777" w:rsidR="00B457C0" w:rsidRPr="00B457C0" w:rsidRDefault="00B457C0" w:rsidP="00B457C0">
            <w:pPr>
              <w:bidi/>
              <w:spacing w:before="0"/>
              <w:ind w:firstLine="0"/>
              <w:jc w:val="both"/>
              <w:rPr>
                <w:rFonts w:eastAsia="Calibri"/>
                <w:rtl/>
              </w:rPr>
            </w:pPr>
          </w:p>
        </w:tc>
      </w:tr>
      <w:tr w:rsidR="00B457C0" w:rsidRPr="00B457C0" w14:paraId="11C30429" w14:textId="77777777" w:rsidTr="00B457C0">
        <w:trPr>
          <w:jc w:val="center"/>
        </w:trPr>
        <w:tc>
          <w:tcPr>
            <w:tcW w:w="6434" w:type="dxa"/>
          </w:tcPr>
          <w:p w14:paraId="10B4B699" w14:textId="77777777" w:rsidR="00B457C0" w:rsidRPr="00B457C0" w:rsidRDefault="00B457C0" w:rsidP="00B457C0">
            <w:pPr>
              <w:bidi/>
              <w:spacing w:before="0"/>
              <w:ind w:firstLine="0"/>
              <w:jc w:val="both"/>
              <w:rPr>
                <w:rFonts w:eastAsia="Calibri"/>
                <w:rtl/>
              </w:rPr>
            </w:pPr>
            <w:r w:rsidRPr="00B457C0">
              <w:rPr>
                <w:rFonts w:eastAsia="Calibri"/>
                <w:rtl/>
              </w:rPr>
              <w:t xml:space="preserve">موقف الإمام محمد أبو زهرة من الوقف على النفس </w:t>
            </w:r>
          </w:p>
        </w:tc>
        <w:tc>
          <w:tcPr>
            <w:tcW w:w="925" w:type="dxa"/>
          </w:tcPr>
          <w:p w14:paraId="7FCDB5C3" w14:textId="77777777" w:rsidR="00B457C0" w:rsidRPr="00B457C0" w:rsidRDefault="00B457C0" w:rsidP="00B457C0">
            <w:pPr>
              <w:bidi/>
              <w:spacing w:before="0"/>
              <w:ind w:firstLine="0"/>
              <w:jc w:val="both"/>
              <w:rPr>
                <w:rFonts w:eastAsia="Calibri"/>
                <w:rtl/>
              </w:rPr>
            </w:pPr>
          </w:p>
        </w:tc>
      </w:tr>
      <w:tr w:rsidR="00B457C0" w:rsidRPr="00B457C0" w14:paraId="3730D4F9" w14:textId="77777777" w:rsidTr="00B457C0">
        <w:trPr>
          <w:jc w:val="center"/>
        </w:trPr>
        <w:tc>
          <w:tcPr>
            <w:tcW w:w="6434" w:type="dxa"/>
          </w:tcPr>
          <w:p w14:paraId="0183585D" w14:textId="77777777" w:rsidR="00B457C0" w:rsidRPr="00B457C0" w:rsidRDefault="00B457C0" w:rsidP="00B457C0">
            <w:pPr>
              <w:bidi/>
              <w:spacing w:before="0"/>
              <w:ind w:firstLine="0"/>
              <w:jc w:val="both"/>
              <w:rPr>
                <w:rFonts w:eastAsia="Calibri"/>
                <w:b/>
                <w:bCs/>
                <w:rtl/>
              </w:rPr>
            </w:pPr>
            <w:r w:rsidRPr="00B457C0">
              <w:rPr>
                <w:rFonts w:eastAsia="Calibri"/>
                <w:b/>
                <w:bCs/>
                <w:rtl/>
              </w:rPr>
              <w:t xml:space="preserve">الفصل الثالث: موقف الدراسة الماثلة من الوقف على النفس واستثناء منافع المال الموقوف لصالح الواقف </w:t>
            </w:r>
          </w:p>
        </w:tc>
        <w:tc>
          <w:tcPr>
            <w:tcW w:w="925" w:type="dxa"/>
          </w:tcPr>
          <w:p w14:paraId="26E1957E" w14:textId="77777777" w:rsidR="00B457C0" w:rsidRPr="00B457C0" w:rsidRDefault="00B457C0" w:rsidP="00B457C0">
            <w:pPr>
              <w:bidi/>
              <w:spacing w:before="0"/>
              <w:ind w:firstLine="0"/>
              <w:jc w:val="both"/>
              <w:rPr>
                <w:rFonts w:eastAsia="Calibri"/>
                <w:rtl/>
              </w:rPr>
            </w:pPr>
          </w:p>
        </w:tc>
      </w:tr>
      <w:tr w:rsidR="00B457C0" w:rsidRPr="00B457C0" w14:paraId="16B24C45" w14:textId="77777777" w:rsidTr="00B457C0">
        <w:trPr>
          <w:jc w:val="center"/>
        </w:trPr>
        <w:tc>
          <w:tcPr>
            <w:tcW w:w="6434" w:type="dxa"/>
          </w:tcPr>
          <w:p w14:paraId="67671D66" w14:textId="77777777" w:rsidR="00B457C0" w:rsidRPr="00B457C0" w:rsidRDefault="00B457C0" w:rsidP="00B457C0">
            <w:pPr>
              <w:bidi/>
              <w:spacing w:before="0"/>
              <w:ind w:firstLine="0"/>
              <w:jc w:val="both"/>
              <w:rPr>
                <w:rFonts w:eastAsia="Calibri"/>
                <w:rtl/>
              </w:rPr>
            </w:pPr>
            <w:r w:rsidRPr="00B457C0">
              <w:rPr>
                <w:rFonts w:eastAsia="Calibri"/>
                <w:rtl/>
              </w:rPr>
              <w:t xml:space="preserve">أدلة جواز </w:t>
            </w:r>
            <w:r w:rsidRPr="00B457C0">
              <w:rPr>
                <w:rFonts w:ascii="Times New Roman" w:eastAsia="Calibri" w:hAnsi="Times New Roman" w:cs="Times New Roman" w:hint="cs"/>
                <w:rtl/>
              </w:rPr>
              <w:t>–</w:t>
            </w:r>
            <w:r w:rsidRPr="00B457C0">
              <w:rPr>
                <w:rFonts w:eastAsia="Calibri"/>
                <w:rtl/>
              </w:rPr>
              <w:t xml:space="preserve"> وصحة الوقف على النفس</w:t>
            </w:r>
          </w:p>
        </w:tc>
        <w:tc>
          <w:tcPr>
            <w:tcW w:w="925" w:type="dxa"/>
          </w:tcPr>
          <w:p w14:paraId="79DFB867" w14:textId="77777777" w:rsidR="00B457C0" w:rsidRPr="00B457C0" w:rsidRDefault="00B457C0" w:rsidP="00B457C0">
            <w:pPr>
              <w:bidi/>
              <w:spacing w:before="0"/>
              <w:ind w:firstLine="0"/>
              <w:jc w:val="both"/>
              <w:rPr>
                <w:rFonts w:eastAsia="Calibri"/>
                <w:rtl/>
              </w:rPr>
            </w:pPr>
          </w:p>
        </w:tc>
      </w:tr>
      <w:tr w:rsidR="00B457C0" w:rsidRPr="00B457C0" w14:paraId="466BB02B" w14:textId="77777777" w:rsidTr="00B457C0">
        <w:trPr>
          <w:jc w:val="center"/>
        </w:trPr>
        <w:tc>
          <w:tcPr>
            <w:tcW w:w="6434" w:type="dxa"/>
          </w:tcPr>
          <w:p w14:paraId="5124A87D" w14:textId="77777777" w:rsidR="00B457C0" w:rsidRPr="00B457C0" w:rsidRDefault="00B457C0" w:rsidP="00B457C0">
            <w:pPr>
              <w:bidi/>
              <w:spacing w:before="0"/>
              <w:ind w:firstLine="0"/>
              <w:jc w:val="both"/>
              <w:rPr>
                <w:rFonts w:eastAsia="Calibri"/>
                <w:rtl/>
              </w:rPr>
            </w:pPr>
            <w:r w:rsidRPr="00B457C0">
              <w:rPr>
                <w:rFonts w:eastAsia="Calibri"/>
                <w:rtl/>
              </w:rPr>
              <w:t xml:space="preserve">مذاهب الفقهاء في استثناء منافع المال الموقوف لصالح الواقف وأدلتها </w:t>
            </w:r>
          </w:p>
        </w:tc>
        <w:tc>
          <w:tcPr>
            <w:tcW w:w="925" w:type="dxa"/>
          </w:tcPr>
          <w:p w14:paraId="0660B0CF" w14:textId="77777777" w:rsidR="00B457C0" w:rsidRPr="00B457C0" w:rsidRDefault="00B457C0" w:rsidP="00B457C0">
            <w:pPr>
              <w:bidi/>
              <w:spacing w:before="0"/>
              <w:ind w:firstLine="0"/>
              <w:jc w:val="both"/>
              <w:rPr>
                <w:rFonts w:eastAsia="Calibri"/>
                <w:rtl/>
              </w:rPr>
            </w:pPr>
          </w:p>
        </w:tc>
      </w:tr>
      <w:tr w:rsidR="00B457C0" w:rsidRPr="00B457C0" w14:paraId="3E750342" w14:textId="77777777" w:rsidTr="00B457C0">
        <w:trPr>
          <w:jc w:val="center"/>
        </w:trPr>
        <w:tc>
          <w:tcPr>
            <w:tcW w:w="6434" w:type="dxa"/>
          </w:tcPr>
          <w:p w14:paraId="2C523997" w14:textId="77777777" w:rsidR="00B457C0" w:rsidRPr="00B457C0" w:rsidRDefault="00B457C0" w:rsidP="00B457C0">
            <w:pPr>
              <w:bidi/>
              <w:spacing w:before="0"/>
              <w:ind w:firstLine="0"/>
              <w:jc w:val="both"/>
              <w:rPr>
                <w:rFonts w:eastAsia="Calibri"/>
                <w:rtl/>
              </w:rPr>
            </w:pPr>
            <w:r w:rsidRPr="00B457C0">
              <w:rPr>
                <w:rFonts w:eastAsia="Calibri"/>
                <w:rtl/>
              </w:rPr>
              <w:t xml:space="preserve">القول الأول وأدلته </w:t>
            </w:r>
          </w:p>
        </w:tc>
        <w:tc>
          <w:tcPr>
            <w:tcW w:w="925" w:type="dxa"/>
          </w:tcPr>
          <w:p w14:paraId="697812C5" w14:textId="77777777" w:rsidR="00B457C0" w:rsidRPr="00B457C0" w:rsidRDefault="00B457C0" w:rsidP="00B457C0">
            <w:pPr>
              <w:bidi/>
              <w:spacing w:before="0"/>
              <w:ind w:firstLine="0"/>
              <w:jc w:val="both"/>
              <w:rPr>
                <w:rFonts w:eastAsia="Calibri"/>
                <w:rtl/>
              </w:rPr>
            </w:pPr>
          </w:p>
        </w:tc>
      </w:tr>
      <w:tr w:rsidR="00B457C0" w:rsidRPr="00B457C0" w14:paraId="175F2097" w14:textId="77777777" w:rsidTr="00B457C0">
        <w:trPr>
          <w:jc w:val="center"/>
        </w:trPr>
        <w:tc>
          <w:tcPr>
            <w:tcW w:w="6434" w:type="dxa"/>
          </w:tcPr>
          <w:p w14:paraId="2A0ABFD6" w14:textId="77777777" w:rsidR="00B457C0" w:rsidRPr="00B457C0" w:rsidRDefault="00B457C0" w:rsidP="00B457C0">
            <w:pPr>
              <w:bidi/>
              <w:spacing w:before="0"/>
              <w:ind w:firstLine="0"/>
              <w:jc w:val="both"/>
              <w:rPr>
                <w:rFonts w:eastAsia="Calibri"/>
                <w:rtl/>
              </w:rPr>
            </w:pPr>
            <w:r w:rsidRPr="00B457C0">
              <w:rPr>
                <w:rFonts w:eastAsia="Calibri"/>
                <w:rtl/>
              </w:rPr>
              <w:t xml:space="preserve">القول الثاني وأدلته </w:t>
            </w:r>
          </w:p>
        </w:tc>
        <w:tc>
          <w:tcPr>
            <w:tcW w:w="925" w:type="dxa"/>
          </w:tcPr>
          <w:p w14:paraId="796E4BCE" w14:textId="77777777" w:rsidR="00B457C0" w:rsidRPr="00B457C0" w:rsidRDefault="00B457C0" w:rsidP="00B457C0">
            <w:pPr>
              <w:bidi/>
              <w:spacing w:before="0"/>
              <w:ind w:firstLine="0"/>
              <w:jc w:val="both"/>
              <w:rPr>
                <w:rFonts w:eastAsia="Calibri"/>
                <w:rtl/>
              </w:rPr>
            </w:pPr>
          </w:p>
        </w:tc>
      </w:tr>
      <w:tr w:rsidR="00B457C0" w:rsidRPr="00B457C0" w14:paraId="3327B295" w14:textId="77777777" w:rsidTr="00B457C0">
        <w:trPr>
          <w:jc w:val="center"/>
        </w:trPr>
        <w:tc>
          <w:tcPr>
            <w:tcW w:w="6434" w:type="dxa"/>
          </w:tcPr>
          <w:p w14:paraId="3771F2FC" w14:textId="77777777" w:rsidR="00B457C0" w:rsidRPr="00B457C0" w:rsidRDefault="00B457C0" w:rsidP="00B457C0">
            <w:pPr>
              <w:bidi/>
              <w:spacing w:before="0"/>
              <w:ind w:firstLine="0"/>
              <w:jc w:val="both"/>
              <w:rPr>
                <w:rFonts w:eastAsia="Calibri"/>
                <w:rtl/>
              </w:rPr>
            </w:pPr>
            <w:r w:rsidRPr="00B457C0">
              <w:rPr>
                <w:rFonts w:eastAsia="Calibri"/>
                <w:rtl/>
              </w:rPr>
              <w:t xml:space="preserve">القول الثالث وأدلته </w:t>
            </w:r>
          </w:p>
        </w:tc>
        <w:tc>
          <w:tcPr>
            <w:tcW w:w="925" w:type="dxa"/>
          </w:tcPr>
          <w:p w14:paraId="298374E1" w14:textId="77777777" w:rsidR="00B457C0" w:rsidRPr="00B457C0" w:rsidRDefault="00B457C0" w:rsidP="00B457C0">
            <w:pPr>
              <w:bidi/>
              <w:spacing w:before="0"/>
              <w:ind w:firstLine="0"/>
              <w:jc w:val="both"/>
              <w:rPr>
                <w:rFonts w:eastAsia="Calibri"/>
                <w:rtl/>
              </w:rPr>
            </w:pPr>
          </w:p>
        </w:tc>
      </w:tr>
      <w:tr w:rsidR="00B457C0" w:rsidRPr="00B457C0" w14:paraId="70DEDF61" w14:textId="77777777" w:rsidTr="00B457C0">
        <w:trPr>
          <w:jc w:val="center"/>
        </w:trPr>
        <w:tc>
          <w:tcPr>
            <w:tcW w:w="6434" w:type="dxa"/>
          </w:tcPr>
          <w:p w14:paraId="14FAC59D" w14:textId="77777777" w:rsidR="00B457C0" w:rsidRPr="00B457C0" w:rsidRDefault="00B457C0" w:rsidP="00B457C0">
            <w:pPr>
              <w:bidi/>
              <w:spacing w:before="0"/>
              <w:ind w:firstLine="0"/>
              <w:jc w:val="both"/>
              <w:rPr>
                <w:rFonts w:eastAsia="Calibri"/>
                <w:rtl/>
              </w:rPr>
            </w:pPr>
            <w:r w:rsidRPr="00B457C0">
              <w:rPr>
                <w:rFonts w:eastAsia="Calibri"/>
                <w:rtl/>
              </w:rPr>
              <w:t xml:space="preserve">موقف الدراسة من استثناء منافع الموقوف لصالح الواقف </w:t>
            </w:r>
          </w:p>
        </w:tc>
        <w:tc>
          <w:tcPr>
            <w:tcW w:w="925" w:type="dxa"/>
          </w:tcPr>
          <w:p w14:paraId="737BD673" w14:textId="77777777" w:rsidR="00B457C0" w:rsidRPr="00B457C0" w:rsidRDefault="00B457C0" w:rsidP="00B457C0">
            <w:pPr>
              <w:bidi/>
              <w:spacing w:before="0"/>
              <w:ind w:firstLine="0"/>
              <w:jc w:val="both"/>
              <w:rPr>
                <w:rFonts w:eastAsia="Calibri"/>
                <w:rtl/>
              </w:rPr>
            </w:pPr>
          </w:p>
        </w:tc>
      </w:tr>
      <w:tr w:rsidR="00B457C0" w:rsidRPr="00B457C0" w14:paraId="78E4DD63" w14:textId="77777777" w:rsidTr="00B457C0">
        <w:trPr>
          <w:jc w:val="center"/>
        </w:trPr>
        <w:tc>
          <w:tcPr>
            <w:tcW w:w="6434" w:type="dxa"/>
          </w:tcPr>
          <w:p w14:paraId="312C71C4" w14:textId="77777777" w:rsidR="00B457C0" w:rsidRPr="00B457C0" w:rsidRDefault="00B457C0" w:rsidP="00B457C0">
            <w:pPr>
              <w:bidi/>
              <w:spacing w:before="0"/>
              <w:ind w:firstLine="0"/>
              <w:jc w:val="both"/>
              <w:rPr>
                <w:rFonts w:eastAsia="Calibri"/>
                <w:rtl/>
              </w:rPr>
            </w:pPr>
            <w:r w:rsidRPr="00B457C0">
              <w:rPr>
                <w:rFonts w:eastAsia="Calibri"/>
                <w:rtl/>
              </w:rPr>
              <w:t xml:space="preserve">استحقاق الواقف من الوقف إذا شمله وصف الموقوف عليه </w:t>
            </w:r>
          </w:p>
        </w:tc>
        <w:tc>
          <w:tcPr>
            <w:tcW w:w="925" w:type="dxa"/>
          </w:tcPr>
          <w:p w14:paraId="11154AD7" w14:textId="77777777" w:rsidR="00B457C0" w:rsidRPr="00B457C0" w:rsidRDefault="00B457C0" w:rsidP="00B457C0">
            <w:pPr>
              <w:bidi/>
              <w:spacing w:before="0"/>
              <w:ind w:firstLine="0"/>
              <w:jc w:val="both"/>
              <w:rPr>
                <w:rFonts w:eastAsia="Calibri"/>
                <w:rtl/>
              </w:rPr>
            </w:pPr>
          </w:p>
        </w:tc>
      </w:tr>
    </w:tbl>
    <w:p w14:paraId="5A5C9A44" w14:textId="77777777" w:rsidR="00B457C0" w:rsidRPr="00B457C0" w:rsidRDefault="00B457C0" w:rsidP="00B457C0">
      <w:pPr>
        <w:ind w:firstLine="0"/>
        <w:rPr>
          <w:lang w:bidi="ar-EG"/>
        </w:rPr>
      </w:pPr>
    </w:p>
    <w:sectPr w:rsidR="00B457C0" w:rsidRPr="00B457C0" w:rsidSect="0007616B">
      <w:headerReference w:type="default" r:id="rId10"/>
      <w:footerReference w:type="default" r:id="rId11"/>
      <w:footnotePr>
        <w:numRestart w:val="eachPage"/>
      </w:footnotePr>
      <w:pgSz w:w="9979" w:h="14175" w:code="303"/>
      <w:pgMar w:top="1701" w:right="1418" w:bottom="1418" w:left="1418"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E84A" w14:textId="77777777" w:rsidR="001D41A2" w:rsidRDefault="001D41A2" w:rsidP="00456E65">
      <w:pPr>
        <w:spacing w:before="0" w:line="240" w:lineRule="auto"/>
      </w:pPr>
      <w:r>
        <w:separator/>
      </w:r>
    </w:p>
  </w:endnote>
  <w:endnote w:type="continuationSeparator" w:id="0">
    <w:p w14:paraId="40260E47" w14:textId="77777777" w:rsidR="001D41A2" w:rsidRDefault="001D41A2" w:rsidP="00456E6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dwa-assalaf">
    <w:panose1 w:val="02000000000000000000"/>
    <w:charset w:val="00"/>
    <w:family w:val="auto"/>
    <w:pitch w:val="variable"/>
    <w:sig w:usb0="00002007" w:usb1="80000000" w:usb2="00000008" w:usb3="00000000" w:csb0="00000043" w:csb1="00000000"/>
  </w:font>
  <w:font w:name="SKR HEAD1">
    <w:panose1 w:val="00000000000000000000"/>
    <w:charset w:val="B2"/>
    <w:family w:val="auto"/>
    <w:pitch w:val="variable"/>
    <w:sig w:usb0="00002001" w:usb1="00000000" w:usb2="00000000" w:usb3="00000000" w:csb0="00000040" w:csb1="00000000"/>
  </w:font>
  <w:font w:name="Mohammad Bold Normal">
    <w:panose1 w:val="00000000000000000000"/>
    <w:charset w:val="B2"/>
    <w:family w:val="auto"/>
    <w:pitch w:val="variable"/>
    <w:sig w:usb0="00002001" w:usb1="00000000" w:usb2="00000000" w:usb3="00000000" w:csb0="00000040" w:csb1="00000000"/>
  </w:font>
  <w:font w:name="ArbHasoob Bold">
    <w:panose1 w:val="000008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A) Arslan Wessam B">
    <w:panose1 w:val="03020402040406030203"/>
    <w:charset w:val="00"/>
    <w:family w:val="script"/>
    <w:pitch w:val="variable"/>
    <w:sig w:usb0="80002063" w:usb1="80002040" w:usb2="00000008" w:usb3="00000000" w:csb0="00000041" w:csb1="00000000"/>
  </w:font>
  <w:font w:name="QCF2BSML">
    <w:panose1 w:val="02000400000000000000"/>
    <w:charset w:val="00"/>
    <w:family w:val="auto"/>
    <w:pitch w:val="variable"/>
    <w:sig w:usb0="80002003" w:usb1="90000000" w:usb2="00000008" w:usb3="00000000" w:csb0="80000041" w:csb1="00000000"/>
  </w:font>
  <w:font w:name="QCF2242">
    <w:panose1 w:val="00000400000000000000"/>
    <w:charset w:val="00"/>
    <w:family w:val="auto"/>
    <w:pitch w:val="variable"/>
    <w:sig w:usb0="00002003" w:usb1="80000000" w:usb2="00000000" w:usb3="00000000" w:csb0="00000041" w:csb1="00000000"/>
  </w:font>
  <w:font w:name="QCF2577">
    <w:panose1 w:val="00000400000000000000"/>
    <w:charset w:val="00"/>
    <w:family w:val="auto"/>
    <w:pitch w:val="variable"/>
    <w:sig w:usb0="00002003" w:usb1="80000000" w:usb2="00000000" w:usb3="00000000" w:csb0="00000041" w:csb1="00000000"/>
  </w:font>
  <w:font w:name="QCF2595">
    <w:panose1 w:val="00000400000000000000"/>
    <w:charset w:val="00"/>
    <w:family w:val="auto"/>
    <w:pitch w:val="variable"/>
    <w:sig w:usb0="00002003" w:usb1="80000000" w:usb2="00000000" w:usb3="00000000" w:csb0="00000041" w:csb1="00000000"/>
  </w:font>
  <w:font w:name="QCF2594">
    <w:panose1 w:val="00000400000000000000"/>
    <w:charset w:val="00"/>
    <w:family w:val="auto"/>
    <w:pitch w:val="variable"/>
    <w:sig w:usb0="00002003" w:usb1="80000000" w:usb2="00000000" w:usb3="00000000" w:csb0="00000041" w:csb1="00000000"/>
  </w:font>
  <w:font w:name="QCF2280">
    <w:panose1 w:val="00000400000000000000"/>
    <w:charset w:val="00"/>
    <w:family w:val="auto"/>
    <w:pitch w:val="variable"/>
    <w:sig w:usb0="00002003" w:usb1="80000000" w:usb2="00000000" w:usb3="00000000" w:csb0="00000041" w:csb1="00000000"/>
  </w:font>
  <w:font w:name="QCF2546">
    <w:panose1 w:val="00000400000000000000"/>
    <w:charset w:val="00"/>
    <w:family w:val="auto"/>
    <w:pitch w:val="variable"/>
    <w:sig w:usb0="00002003" w:usb1="80000000" w:usb2="00000000" w:usb3="00000000" w:csb0="00000041" w:csb1="00000000"/>
  </w:font>
  <w:font w:name="QCF2037">
    <w:panose1 w:val="00000400000000000000"/>
    <w:charset w:val="00"/>
    <w:family w:val="auto"/>
    <w:pitch w:val="variable"/>
    <w:sig w:usb0="00002003" w:usb1="80000000" w:usb2="00000000" w:usb3="00000000" w:csb0="00000041" w:csb1="00000000"/>
  </w:font>
  <w:font w:name="QCF2362">
    <w:panose1 w:val="00000400000000000000"/>
    <w:charset w:val="00"/>
    <w:family w:val="auto"/>
    <w:pitch w:val="variable"/>
    <w:sig w:usb0="00002003" w:usb1="80000000" w:usb2="00000000" w:usb3="00000000" w:csb0="00000041" w:csb1="00000000"/>
  </w:font>
  <w:font w:name="QCF2007">
    <w:panose1 w:val="00000400000000000000"/>
    <w:charset w:val="00"/>
    <w:family w:val="auto"/>
    <w:pitch w:val="variable"/>
    <w:sig w:usb0="00002003" w:usb1="80000000" w:usb2="00000000" w:usb3="00000000" w:csb0="00000041" w:csb1="00000000"/>
  </w:font>
  <w:font w:name="QCF2054">
    <w:panose1 w:val="00000400000000000000"/>
    <w:charset w:val="00"/>
    <w:family w:val="auto"/>
    <w:pitch w:val="variable"/>
    <w:sig w:usb0="00002003" w:usb1="80000000" w:usb2="00000000" w:usb3="00000000" w:csb0="00000041" w:csb1="00000000"/>
  </w:font>
  <w:font w:name="QCF2469">
    <w:panose1 w:val="00000400000000000000"/>
    <w:charset w:val="00"/>
    <w:family w:val="auto"/>
    <w:pitch w:val="variable"/>
    <w:sig w:usb0="00002003" w:usb1="80000000" w:usb2="00000000" w:usb3="00000000" w:csb0="00000041" w:csb1="00000000"/>
  </w:font>
  <w:font w:name="QCF2283">
    <w:panose1 w:val="00000400000000000000"/>
    <w:charset w:val="00"/>
    <w:family w:val="auto"/>
    <w:pitch w:val="variable"/>
    <w:sig w:usb0="00002003" w:usb1="80000000" w:usb2="00000000" w:usb3="00000000" w:csb0="00000041" w:csb1="00000000"/>
  </w:font>
  <w:font w:name="QCF2258">
    <w:panose1 w:val="00000400000000000000"/>
    <w:charset w:val="00"/>
    <w:family w:val="auto"/>
    <w:pitch w:val="variable"/>
    <w:sig w:usb0="00002003" w:usb1="80000000" w:usb2="00000000" w:usb3="00000000" w:csb0="00000041" w:csb1="00000000"/>
  </w:font>
  <w:font w:name="QCF2331">
    <w:panose1 w:val="00000400000000000000"/>
    <w:charset w:val="00"/>
    <w:family w:val="auto"/>
    <w:pitch w:val="variable"/>
    <w:sig w:usb0="00002003" w:usb1="80000000" w:usb2="00000000" w:usb3="00000000" w:csb0="00000041" w:csb1="00000000"/>
  </w:font>
  <w:font w:name="QCF2290">
    <w:panose1 w:val="00000400000000000000"/>
    <w:charset w:val="00"/>
    <w:family w:val="auto"/>
    <w:pitch w:val="variable"/>
    <w:sig w:usb0="00002003" w:usb1="8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QCF2354">
    <w:panose1 w:val="00000400000000000000"/>
    <w:charset w:val="00"/>
    <w:family w:val="auto"/>
    <w:pitch w:val="variable"/>
    <w:sig w:usb0="00002003" w:usb1="80000000" w:usb2="00000000" w:usb3="00000000" w:csb0="00000041" w:csb1="00000000"/>
  </w:font>
  <w:font w:name="QCF2554">
    <w:panose1 w:val="00000400000000000000"/>
    <w:charset w:val="00"/>
    <w:family w:val="auto"/>
    <w:pitch w:val="variable"/>
    <w:sig w:usb0="00002003" w:usb1="80000000" w:usb2="00000000" w:usb3="00000000" w:csb0="00000041" w:csb1="00000000"/>
  </w:font>
  <w:font w:name="QCF2563">
    <w:panose1 w:val="00000400000000000000"/>
    <w:charset w:val="00"/>
    <w:family w:val="auto"/>
    <w:pitch w:val="variable"/>
    <w:sig w:usb0="00002003" w:usb1="80000000" w:usb2="00000000" w:usb3="00000000" w:csb0="00000041" w:csb1="00000000"/>
  </w:font>
  <w:font w:name="QCF2538">
    <w:panose1 w:val="00000400000000000000"/>
    <w:charset w:val="00"/>
    <w:family w:val="auto"/>
    <w:pitch w:val="variable"/>
    <w:sig w:usb0="00002003" w:usb1="80000000" w:usb2="00000000" w:usb3="00000000" w:csb0="00000041" w:csb1="00000000"/>
  </w:font>
  <w:font w:name="QCF2023">
    <w:panose1 w:val="00000400000000000000"/>
    <w:charset w:val="00"/>
    <w:family w:val="auto"/>
    <w:pitch w:val="variable"/>
    <w:sig w:usb0="00002003" w:usb1="80000000" w:usb2="00000000" w:usb3="00000000" w:csb0="00000041" w:csb1="00000000"/>
  </w:font>
  <w:font w:name="QCF2067">
    <w:panose1 w:val="00000400000000000000"/>
    <w:charset w:val="00"/>
    <w:family w:val="auto"/>
    <w:pitch w:val="variable"/>
    <w:sig w:usb0="00002003" w:usb1="80000000" w:usb2="00000000" w:usb3="00000000" w:csb0="00000041" w:csb1="00000000"/>
  </w:font>
  <w:font w:name="QCF2062">
    <w:panose1 w:val="00000400000000000000"/>
    <w:charset w:val="00"/>
    <w:family w:val="auto"/>
    <w:pitch w:val="variable"/>
    <w:sig w:usb0="00002003" w:usb1="80000000" w:usb2="00000000" w:usb3="00000000" w:csb0="00000041" w:csb1="00000000"/>
  </w:font>
  <w:font w:name="QCF2341">
    <w:panose1 w:val="00000400000000000000"/>
    <w:charset w:val="00"/>
    <w:family w:val="auto"/>
    <w:pitch w:val="variable"/>
    <w:sig w:usb0="00002003" w:usb1="80000000" w:usb2="00000000" w:usb3="00000000" w:csb0="00000041" w:csb1="00000000"/>
  </w:font>
  <w:font w:name="QCF2028">
    <w:panose1 w:val="00000400000000000000"/>
    <w:charset w:val="00"/>
    <w:family w:val="auto"/>
    <w:pitch w:val="variable"/>
    <w:sig w:usb0="00002003" w:usb1="80000000" w:usb2="00000000" w:usb3="00000000" w:csb0="00000041" w:csb1="00000000"/>
  </w:font>
  <w:font w:name="QCF2083">
    <w:panose1 w:val="00000400000000000000"/>
    <w:charset w:val="00"/>
    <w:family w:val="auto"/>
    <w:pitch w:val="variable"/>
    <w:sig w:usb0="00002003" w:usb1="80000000" w:usb2="00000000" w:usb3="00000000" w:csb0="00000041" w:csb1="00000000"/>
  </w:font>
  <w:font w:name="QCF2170">
    <w:panose1 w:val="00000400000000000000"/>
    <w:charset w:val="00"/>
    <w:family w:val="auto"/>
    <w:pitch w:val="variable"/>
    <w:sig w:usb0="00002003" w:usb1="80000000" w:usb2="00000000" w:usb3="00000000" w:csb0="00000041" w:csb1="00000000"/>
  </w:font>
  <w:font w:name="QCF2030">
    <w:panose1 w:val="00000400000000000000"/>
    <w:charset w:val="00"/>
    <w:family w:val="auto"/>
    <w:pitch w:val="variable"/>
    <w:sig w:usb0="00002003" w:usb1="80000000" w:usb2="00000000" w:usb3="00000000" w:csb0="00000041" w:csb1="00000000"/>
  </w:font>
  <w:font w:name="QCF2557">
    <w:panose1 w:val="00000400000000000000"/>
    <w:charset w:val="00"/>
    <w:family w:val="auto"/>
    <w:pitch w:val="variable"/>
    <w:sig w:usb0="00002003" w:usb1="80000000" w:usb2="00000000" w:usb3="00000000" w:csb0="00000041" w:csb1="00000000"/>
  </w:font>
  <w:font w:name="QCF2481">
    <w:panose1 w:val="00000400000000000000"/>
    <w:charset w:val="00"/>
    <w:family w:val="auto"/>
    <w:pitch w:val="variable"/>
    <w:sig w:usb0="00002003" w:usb1="80000000" w:usb2="00000000" w:usb3="00000000" w:csb0="00000041" w:csb1="00000000"/>
  </w:font>
  <w:font w:name="QCF2122">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40464332"/>
      <w:docPartObj>
        <w:docPartGallery w:val="Page Numbers (Bottom of Page)"/>
        <w:docPartUnique/>
      </w:docPartObj>
    </w:sdtPr>
    <w:sdtEndPr>
      <w:rPr>
        <w:noProof/>
      </w:rPr>
    </w:sdtEndPr>
    <w:sdtContent>
      <w:p w14:paraId="3E650370" w14:textId="0458F9E3" w:rsidR="00456E65" w:rsidRDefault="00456E65" w:rsidP="007E1086">
        <w:pPr>
          <w:pStyle w:val="Footer"/>
          <w:ind w:firstLine="0"/>
          <w:jc w:val="center"/>
          <w:rPr>
            <w:rtl/>
          </w:rPr>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F599B" w14:textId="77777777" w:rsidR="001D41A2" w:rsidRDefault="001D41A2" w:rsidP="0037765F">
      <w:pPr>
        <w:spacing w:before="0" w:line="400" w:lineRule="exact"/>
        <w:ind w:firstLine="0"/>
      </w:pPr>
      <w:r>
        <w:separator/>
      </w:r>
    </w:p>
  </w:footnote>
  <w:footnote w:type="continuationSeparator" w:id="0">
    <w:p w14:paraId="27BE98CA" w14:textId="77777777" w:rsidR="001D41A2" w:rsidRPr="00325633" w:rsidRDefault="001D41A2" w:rsidP="00325633">
      <w:pPr>
        <w:pStyle w:val="Footer"/>
        <w:ind w:firstLine="0"/>
      </w:pPr>
    </w:p>
  </w:footnote>
  <w:footnote w:type="continuationNotice" w:id="1">
    <w:p w14:paraId="31796B6D" w14:textId="77777777" w:rsidR="001D41A2" w:rsidRDefault="001D41A2" w:rsidP="00325633">
      <w:pPr>
        <w:spacing w:before="0" w:line="240" w:lineRule="auto"/>
        <w:ind w:firstLine="0"/>
      </w:pPr>
    </w:p>
  </w:footnote>
  <w:footnote w:id="2">
    <w:p w14:paraId="0BF1BA00" w14:textId="5411E5CB" w:rsidR="0046333C" w:rsidRPr="0046333C" w:rsidRDefault="0046333C">
      <w:pPr>
        <w:pStyle w:val="FootnoteText"/>
        <w:rPr>
          <w:vertAlign w:val="superscript"/>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sidRPr="0046333C">
        <w:rPr>
          <w:rFonts w:hint="cs"/>
          <w:rtl/>
        </w:rPr>
        <w:t>المعجم الوجيز: مجمع اللغة العربية بالقاهرة، الهيئة العامة لشئون</w:t>
      </w:r>
      <w:r w:rsidRPr="0046333C">
        <w:rPr>
          <w:rtl/>
        </w:rPr>
        <w:t xml:space="preserve"> </w:t>
      </w:r>
      <w:r w:rsidRPr="0046333C">
        <w:rPr>
          <w:rFonts w:hint="cs"/>
          <w:rtl/>
        </w:rPr>
        <w:t>المط</w:t>
      </w:r>
      <w:r>
        <w:rPr>
          <w:rFonts w:hint="cs"/>
          <w:rtl/>
        </w:rPr>
        <w:t>ابع الأميرية، 2000م، ص627.</w:t>
      </w:r>
    </w:p>
  </w:footnote>
  <w:footnote w:id="3">
    <w:p w14:paraId="1C5E3773" w14:textId="57567ED7" w:rsidR="0046333C" w:rsidRPr="0046333C" w:rsidRDefault="0046333C" w:rsidP="0046333C">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t xml:space="preserve"> </w:t>
      </w:r>
      <w:r>
        <w:rPr>
          <w:rFonts w:hint="cs"/>
          <w:rtl/>
        </w:rPr>
        <w:t>إحياء علوم الدين لأبي حامد محمد الغزالي، مطبعة مصطفى البابي الحلبي، 1346هـ، ج3، ص3.</w:t>
      </w:r>
    </w:p>
  </w:footnote>
  <w:footnote w:id="4">
    <w:p w14:paraId="7187AA47" w14:textId="167B84CF" w:rsidR="00A912BF" w:rsidRPr="00A912BF" w:rsidRDefault="00A912BF" w:rsidP="00A912BF">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t xml:space="preserve"> </w:t>
      </w:r>
      <w:r>
        <w:rPr>
          <w:rFonts w:hint="cs"/>
          <w:rtl/>
        </w:rPr>
        <w:t>الأستاذ/ حسن كامل الملطاوي، الصوفية في إلهامهم، وزارة الأوقاف، المجلس الأعلى للشئون الإسلامية، 1992م، ص80.</w:t>
      </w:r>
    </w:p>
  </w:footnote>
  <w:footnote w:id="5">
    <w:p w14:paraId="69B8ADF5" w14:textId="38BEC4D2" w:rsidR="00A912BF" w:rsidRPr="00A912BF" w:rsidRDefault="00A912BF" w:rsidP="00A912BF">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t xml:space="preserve"> </w:t>
      </w:r>
      <w:r>
        <w:rPr>
          <w:rFonts w:hint="cs"/>
          <w:rtl/>
        </w:rPr>
        <w:t xml:space="preserve">المعجم المفهرس لألفاظ القرآن الكريم، وضع الأستاذ محمد فؤاد عبد الباقي، دار المعرفة، ببيروت، 1987م، ص881 </w:t>
      </w:r>
      <w:r>
        <w:rPr>
          <w:rFonts w:ascii="Times New Roman" w:hAnsi="Times New Roman" w:cs="Times New Roman" w:hint="cs"/>
          <w:rtl/>
        </w:rPr>
        <w:t>–</w:t>
      </w:r>
      <w:r>
        <w:rPr>
          <w:rFonts w:hint="cs"/>
          <w:rtl/>
        </w:rPr>
        <w:t xml:space="preserve"> 885.</w:t>
      </w:r>
    </w:p>
  </w:footnote>
  <w:footnote w:id="6">
    <w:p w14:paraId="1FA8F468" w14:textId="1379893E" w:rsidR="001E1C5B" w:rsidRPr="001E1C5B" w:rsidRDefault="001E1C5B" w:rsidP="001E1C5B">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t xml:space="preserve"> </w:t>
      </w:r>
      <w:r>
        <w:rPr>
          <w:rFonts w:hint="cs"/>
          <w:rtl/>
        </w:rPr>
        <w:t>المعجم الوجيز، مادة لطَفَ، ص577، مرجع سابق.</w:t>
      </w:r>
    </w:p>
  </w:footnote>
  <w:footnote w:id="7">
    <w:p w14:paraId="478D5FEC" w14:textId="3AAD5AB5" w:rsidR="001E1C5B" w:rsidRPr="001E1C5B" w:rsidRDefault="001E1C5B" w:rsidP="001E1C5B">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t xml:space="preserve"> </w:t>
      </w:r>
      <w:r>
        <w:rPr>
          <w:rFonts w:hint="cs"/>
          <w:rtl/>
        </w:rPr>
        <w:t>إحياء علوم الدين لأبي حامد الغزالي، ج3، ص3، مرجع سابق.</w:t>
      </w:r>
    </w:p>
  </w:footnote>
  <w:footnote w:id="8">
    <w:p w14:paraId="27F861BD" w14:textId="2FF2A899" w:rsidR="00691C9C" w:rsidRPr="00691C9C" w:rsidRDefault="00691C9C" w:rsidP="00691C9C">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t xml:space="preserve"> </w:t>
      </w:r>
      <w:r>
        <w:rPr>
          <w:rFonts w:hint="cs"/>
          <w:rtl/>
        </w:rPr>
        <w:t>المعجم الوجيز، ص368، مرجع سابق.</w:t>
      </w:r>
    </w:p>
  </w:footnote>
  <w:footnote w:id="9">
    <w:p w14:paraId="0E274079" w14:textId="6D0FE066" w:rsidR="00691C9C" w:rsidRPr="0046333C" w:rsidRDefault="00691C9C" w:rsidP="00691C9C">
      <w:pPr>
        <w:pStyle w:val="FootnoteText"/>
        <w:rPr>
          <w:vertAlign w:val="superscript"/>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sidRPr="00691C9C">
        <w:rPr>
          <w:rFonts w:hint="cs"/>
          <w:rtl/>
        </w:rPr>
        <w:t>الموافقات في أصول الشريعة، لأبي إسحاق الشاطبي، دار المعرفة،</w:t>
      </w:r>
      <w:r w:rsidR="0037287C" w:rsidRPr="0037287C">
        <w:rPr>
          <w:rFonts w:hint="cs"/>
          <w:rtl/>
        </w:rPr>
        <w:t xml:space="preserve"> </w:t>
      </w:r>
      <w:r w:rsidRPr="00691C9C">
        <w:rPr>
          <w:rFonts w:hint="cs"/>
          <w:rtl/>
        </w:rPr>
        <w:t>بيروت</w:t>
      </w:r>
      <w:r>
        <w:rPr>
          <w:rFonts w:hint="cs"/>
          <w:rtl/>
        </w:rPr>
        <w:t>، 1994م، ج2، ص339.</w:t>
      </w:r>
    </w:p>
  </w:footnote>
  <w:footnote w:id="10">
    <w:p w14:paraId="661D6FC8" w14:textId="4C32F5C9" w:rsidR="0037287C" w:rsidRPr="0037287C" w:rsidRDefault="0037287C" w:rsidP="0037287C">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t xml:space="preserve"> </w:t>
      </w:r>
      <w:r>
        <w:rPr>
          <w:rFonts w:hint="cs"/>
          <w:rtl/>
        </w:rPr>
        <w:t>صحيح مسلم بشرح النووي، لأبي زكريا يحيى بن شرف النووي، دار ابن الجوزي، بالقاهرة، 2011م، ج11، ص72.</w:t>
      </w:r>
    </w:p>
  </w:footnote>
  <w:footnote w:id="11">
    <w:p w14:paraId="1E71C59E" w14:textId="6C4AFC0B" w:rsidR="00117D06" w:rsidRPr="00117D06" w:rsidRDefault="00117D06" w:rsidP="00117D06">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t xml:space="preserve"> </w:t>
      </w:r>
      <w:r>
        <w:rPr>
          <w:rFonts w:hint="cs"/>
          <w:rtl/>
        </w:rPr>
        <w:t>صحيح مسلم بشرح النووي، ج11، ص73، مرجع سابق.</w:t>
      </w:r>
    </w:p>
  </w:footnote>
  <w:footnote w:id="12">
    <w:p w14:paraId="4CA13DD4" w14:textId="0AC8C449" w:rsidR="00117D06" w:rsidRPr="00117D06" w:rsidRDefault="00117D06" w:rsidP="00117D06">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t xml:space="preserve"> </w:t>
      </w:r>
      <w:r>
        <w:rPr>
          <w:rFonts w:hint="cs"/>
          <w:rtl/>
        </w:rPr>
        <w:t>الشيخ الدكتور/ عبد الله بن بيّه، إعمال المصلحة في الوقف، مؤسسة الريّان للنشر، بيروت، 2005، ص20.</w:t>
      </w:r>
    </w:p>
  </w:footnote>
  <w:footnote w:id="13">
    <w:p w14:paraId="0DC78521" w14:textId="48ECA70A" w:rsidR="000F5F54" w:rsidRPr="000F5F54" w:rsidRDefault="000F5F54" w:rsidP="000F5F54">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t xml:space="preserve"> </w:t>
      </w:r>
      <w:r>
        <w:rPr>
          <w:rFonts w:hint="cs"/>
          <w:rtl/>
        </w:rPr>
        <w:t xml:space="preserve">راجع في التعريف بالحسابات المصرفية، د/ محيي الدين إسماعيل، علم الدين، موسوعة أعمال </w:t>
      </w:r>
      <w:r>
        <w:rPr>
          <w:rFonts w:hint="cs"/>
          <w:rtl/>
        </w:rPr>
        <w:t>البنوك، شركة مطابع الطناني، بالقاهرة، 1987م، ص318 وما بعدها.</w:t>
      </w:r>
    </w:p>
  </w:footnote>
  <w:footnote w:id="14">
    <w:p w14:paraId="72E06020" w14:textId="31DF3E55" w:rsidR="003C7DD9" w:rsidRPr="003C7DD9" w:rsidRDefault="003C7DD9" w:rsidP="003C7DD9">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t xml:space="preserve"> </w:t>
      </w:r>
      <w:r>
        <w:rPr>
          <w:rFonts w:hint="cs"/>
          <w:rtl/>
        </w:rPr>
        <w:t>المعجم الوجيز، ص595، مادة (المال)، مرجع سابق.</w:t>
      </w:r>
    </w:p>
  </w:footnote>
  <w:footnote w:id="15">
    <w:p w14:paraId="0C920763" w14:textId="4A4E0549" w:rsidR="00A74E8C" w:rsidRPr="00A74E8C" w:rsidRDefault="00A74E8C" w:rsidP="00A74E8C">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الموافقات للشاطبي، ج2، ص332.</w:t>
      </w:r>
    </w:p>
  </w:footnote>
  <w:footnote w:id="16">
    <w:p w14:paraId="37921954" w14:textId="59DA519A" w:rsidR="00A74E8C" w:rsidRPr="00A74E8C" w:rsidRDefault="00A74E8C" w:rsidP="00A74E8C">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الأشباه والنظائر للسيوطي، ص327.</w:t>
      </w:r>
    </w:p>
  </w:footnote>
  <w:footnote w:id="17">
    <w:p w14:paraId="4B190DB7" w14:textId="17A14557" w:rsidR="00A74E8C" w:rsidRPr="00A74E8C" w:rsidRDefault="00A74E8C" w:rsidP="00A74E8C">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قال تعالى: </w:t>
      </w:r>
      <w:r w:rsidR="0054438C" w:rsidRPr="0054438C">
        <w:rPr>
          <w:rFonts w:ascii="QCF2BSML" w:eastAsiaTheme="minorHAnsi" w:hAnsi="QCF2BSML" w:cs="QCF2BSML"/>
          <w:color w:val="000000"/>
          <w:kern w:val="0"/>
          <w:sz w:val="20"/>
          <w:szCs w:val="20"/>
          <w:rtl/>
        </w:rPr>
        <w:t>ﱵﭐ</w:t>
      </w:r>
      <w:r w:rsidR="0054438C" w:rsidRPr="0054438C">
        <w:rPr>
          <w:rFonts w:ascii="QCF2354" w:eastAsiaTheme="minorHAnsi" w:hAnsi="QCF2354" w:cs="QCF2354"/>
          <w:color w:val="000000"/>
          <w:kern w:val="0"/>
          <w:sz w:val="20"/>
          <w:szCs w:val="20"/>
          <w:rtl/>
        </w:rPr>
        <w:t>ﱫ</w:t>
      </w:r>
      <w:r w:rsidR="0054438C">
        <w:rPr>
          <w:rFonts w:ascii="QCF2354" w:eastAsiaTheme="minorHAnsi" w:hAnsi="QCF2354" w:cs="QCF2354"/>
          <w:color w:val="000000"/>
          <w:kern w:val="0"/>
          <w:sz w:val="2"/>
          <w:szCs w:val="2"/>
          <w:rtl/>
        </w:rPr>
        <w:t xml:space="preserve"> </w:t>
      </w:r>
      <w:r w:rsidR="0054438C" w:rsidRPr="0054438C">
        <w:rPr>
          <w:rFonts w:ascii="QCF2354" w:eastAsiaTheme="minorHAnsi" w:hAnsi="QCF2354" w:cs="QCF2354"/>
          <w:color w:val="000000"/>
          <w:kern w:val="0"/>
          <w:sz w:val="20"/>
          <w:szCs w:val="20"/>
          <w:rtl/>
        </w:rPr>
        <w:t>ﱬ</w:t>
      </w:r>
      <w:r w:rsidR="0054438C">
        <w:rPr>
          <w:rFonts w:ascii="QCF2354" w:eastAsiaTheme="minorHAnsi" w:hAnsi="QCF2354" w:cs="QCF2354"/>
          <w:color w:val="000000"/>
          <w:kern w:val="0"/>
          <w:sz w:val="2"/>
          <w:szCs w:val="2"/>
          <w:rtl/>
        </w:rPr>
        <w:t xml:space="preserve"> </w:t>
      </w:r>
      <w:r w:rsidR="0054438C" w:rsidRPr="0054438C">
        <w:rPr>
          <w:rFonts w:ascii="QCF2354" w:eastAsiaTheme="minorHAnsi" w:hAnsi="QCF2354" w:cs="QCF2354"/>
          <w:color w:val="000000"/>
          <w:kern w:val="0"/>
          <w:sz w:val="20"/>
          <w:szCs w:val="20"/>
          <w:rtl/>
        </w:rPr>
        <w:t>ﱭ</w:t>
      </w:r>
      <w:r w:rsidR="0054438C">
        <w:rPr>
          <w:rFonts w:ascii="QCF2354" w:eastAsiaTheme="minorHAnsi" w:hAnsi="QCF2354" w:cs="QCF2354"/>
          <w:color w:val="000000"/>
          <w:kern w:val="0"/>
          <w:sz w:val="2"/>
          <w:szCs w:val="2"/>
          <w:rtl/>
        </w:rPr>
        <w:t xml:space="preserve"> </w:t>
      </w:r>
      <w:r w:rsidR="0054438C" w:rsidRPr="0054438C">
        <w:rPr>
          <w:rFonts w:ascii="QCF2354" w:eastAsiaTheme="minorHAnsi" w:hAnsi="QCF2354" w:cs="QCF2354"/>
          <w:color w:val="000000"/>
          <w:kern w:val="0"/>
          <w:sz w:val="20"/>
          <w:szCs w:val="20"/>
          <w:rtl/>
        </w:rPr>
        <w:t>ﱮ</w:t>
      </w:r>
      <w:r w:rsidR="0054438C">
        <w:rPr>
          <w:rFonts w:ascii="QCF2354" w:eastAsiaTheme="minorHAnsi" w:hAnsi="QCF2354" w:cs="QCF2354"/>
          <w:color w:val="000000"/>
          <w:kern w:val="0"/>
          <w:sz w:val="2"/>
          <w:szCs w:val="2"/>
          <w:rtl/>
        </w:rPr>
        <w:t xml:space="preserve"> </w:t>
      </w:r>
      <w:r w:rsidR="0054438C" w:rsidRPr="0054438C">
        <w:rPr>
          <w:rFonts w:ascii="QCF2354" w:eastAsiaTheme="minorHAnsi" w:hAnsi="QCF2354" w:cs="QCF2354"/>
          <w:color w:val="000000"/>
          <w:kern w:val="0"/>
          <w:sz w:val="20"/>
          <w:szCs w:val="20"/>
          <w:rtl/>
        </w:rPr>
        <w:t>ﱯ</w:t>
      </w:r>
      <w:r w:rsidR="0054438C">
        <w:rPr>
          <w:rFonts w:ascii="QCF2354" w:eastAsiaTheme="minorHAnsi" w:hAnsi="QCF2354" w:cs="QCF2354"/>
          <w:color w:val="000000"/>
          <w:kern w:val="0"/>
          <w:sz w:val="2"/>
          <w:szCs w:val="2"/>
          <w:rtl/>
        </w:rPr>
        <w:t xml:space="preserve"> </w:t>
      </w:r>
      <w:r w:rsidR="0054438C" w:rsidRPr="0054438C">
        <w:rPr>
          <w:rFonts w:ascii="QCF2354" w:eastAsiaTheme="minorHAnsi" w:hAnsi="QCF2354" w:cs="QCF2354"/>
          <w:color w:val="000000"/>
          <w:kern w:val="0"/>
          <w:sz w:val="20"/>
          <w:szCs w:val="20"/>
          <w:rtl/>
        </w:rPr>
        <w:t>ﱰ</w:t>
      </w:r>
      <w:r w:rsidR="0054438C">
        <w:rPr>
          <w:rFonts w:ascii="QCF2354" w:eastAsiaTheme="minorHAnsi" w:hAnsi="QCF2354" w:cs="QCF2354"/>
          <w:color w:val="000000"/>
          <w:kern w:val="0"/>
          <w:sz w:val="2"/>
          <w:szCs w:val="2"/>
          <w:rtl/>
        </w:rPr>
        <w:t xml:space="preserve"> </w:t>
      </w:r>
      <w:r w:rsidR="0054438C" w:rsidRPr="0054438C">
        <w:rPr>
          <w:rFonts w:ascii="QCF2354" w:eastAsiaTheme="minorHAnsi" w:hAnsi="QCF2354" w:cs="QCF2354"/>
          <w:color w:val="000000"/>
          <w:kern w:val="0"/>
          <w:sz w:val="20"/>
          <w:szCs w:val="20"/>
          <w:rtl/>
        </w:rPr>
        <w:t>ﱱ</w:t>
      </w:r>
      <w:r w:rsidR="0054438C" w:rsidRPr="0054438C">
        <w:rPr>
          <w:rFonts w:ascii="QCF2BSML" w:eastAsiaTheme="minorHAnsi" w:hAnsi="QCF2BSML" w:cs="QCF2BSML"/>
          <w:color w:val="000000"/>
          <w:kern w:val="0"/>
          <w:sz w:val="20"/>
          <w:szCs w:val="20"/>
          <w:rtl/>
        </w:rPr>
        <w:t>ﱴ</w:t>
      </w:r>
      <w:r w:rsidR="0054438C">
        <w:rPr>
          <w:rFonts w:ascii="Arial" w:eastAsiaTheme="minorHAnsi" w:hAnsi="Arial" w:cs="Arial"/>
          <w:color w:val="000000"/>
          <w:kern w:val="0"/>
          <w:sz w:val="2"/>
          <w:szCs w:val="2"/>
        </w:rPr>
        <w:t xml:space="preserve"> </w:t>
      </w:r>
      <w:r w:rsidR="0054438C" w:rsidRPr="0054438C">
        <w:rPr>
          <w:rFonts w:eastAsiaTheme="minorHAnsi" w:hint="cs"/>
          <w:kern w:val="0"/>
          <w:sz w:val="18"/>
          <w:szCs w:val="18"/>
          <w:rtl/>
        </w:rPr>
        <w:t xml:space="preserve"> </w:t>
      </w:r>
      <w:r w:rsidR="0054438C">
        <w:rPr>
          <w:rFonts w:eastAsiaTheme="minorHAnsi" w:hint="cs"/>
          <w:kern w:val="0"/>
          <w:rtl/>
        </w:rPr>
        <w:t xml:space="preserve">وقال سبحانه: </w:t>
      </w:r>
      <w:r w:rsidR="0054438C" w:rsidRPr="0054438C">
        <w:rPr>
          <w:rFonts w:ascii="QCF2BSML" w:eastAsiaTheme="minorHAnsi" w:hAnsi="QCF2BSML" w:cs="QCF2BSML"/>
          <w:color w:val="000000"/>
          <w:kern w:val="0"/>
          <w:sz w:val="20"/>
          <w:szCs w:val="20"/>
          <w:rtl/>
        </w:rPr>
        <w:t>ﱵﭐ</w:t>
      </w:r>
      <w:r w:rsidR="0054438C">
        <w:rPr>
          <w:rFonts w:ascii="QCF2554" w:eastAsiaTheme="minorHAnsi" w:hAnsi="QCF2554" w:cs="QCF2554"/>
          <w:color w:val="000000"/>
          <w:kern w:val="0"/>
          <w:sz w:val="2"/>
          <w:szCs w:val="2"/>
          <w:rtl/>
        </w:rPr>
        <w:t xml:space="preserve"> </w:t>
      </w:r>
      <w:r w:rsidR="0054438C" w:rsidRPr="0054438C">
        <w:rPr>
          <w:rFonts w:ascii="QCF2554" w:eastAsiaTheme="minorHAnsi" w:hAnsi="QCF2554" w:cs="QCF2554"/>
          <w:color w:val="000000"/>
          <w:kern w:val="0"/>
          <w:sz w:val="20"/>
          <w:szCs w:val="20"/>
          <w:rtl/>
        </w:rPr>
        <w:t>ﱞ</w:t>
      </w:r>
      <w:r w:rsidR="0054438C">
        <w:rPr>
          <w:rFonts w:ascii="QCF2554" w:eastAsiaTheme="minorHAnsi" w:hAnsi="QCF2554" w:cs="QCF2554"/>
          <w:color w:val="000000"/>
          <w:kern w:val="0"/>
          <w:sz w:val="2"/>
          <w:szCs w:val="2"/>
          <w:rtl/>
        </w:rPr>
        <w:t xml:space="preserve"> </w:t>
      </w:r>
      <w:r w:rsidR="0054438C" w:rsidRPr="0054438C">
        <w:rPr>
          <w:rFonts w:ascii="QCF2554" w:eastAsiaTheme="minorHAnsi" w:hAnsi="QCF2554" w:cs="QCF2554"/>
          <w:color w:val="000000"/>
          <w:kern w:val="0"/>
          <w:sz w:val="20"/>
          <w:szCs w:val="20"/>
          <w:rtl/>
        </w:rPr>
        <w:t>ﱟ</w:t>
      </w:r>
      <w:r w:rsidR="0054438C">
        <w:rPr>
          <w:rFonts w:ascii="QCF2554" w:eastAsiaTheme="minorHAnsi" w:hAnsi="QCF2554" w:cs="QCF2554"/>
          <w:color w:val="000000"/>
          <w:kern w:val="0"/>
          <w:sz w:val="2"/>
          <w:szCs w:val="2"/>
          <w:rtl/>
        </w:rPr>
        <w:t xml:space="preserve"> </w:t>
      </w:r>
      <w:r w:rsidR="0054438C" w:rsidRPr="0054438C">
        <w:rPr>
          <w:rFonts w:ascii="QCF2554" w:eastAsiaTheme="minorHAnsi" w:hAnsi="QCF2554" w:cs="QCF2554"/>
          <w:color w:val="000000"/>
          <w:kern w:val="0"/>
          <w:sz w:val="20"/>
          <w:szCs w:val="20"/>
          <w:rtl/>
        </w:rPr>
        <w:t>ﱠ</w:t>
      </w:r>
      <w:r w:rsidR="0054438C">
        <w:rPr>
          <w:rFonts w:ascii="QCF2554" w:eastAsiaTheme="minorHAnsi" w:hAnsi="QCF2554" w:cs="QCF2554"/>
          <w:color w:val="000000"/>
          <w:kern w:val="0"/>
          <w:sz w:val="2"/>
          <w:szCs w:val="2"/>
          <w:rtl/>
        </w:rPr>
        <w:t xml:space="preserve"> </w:t>
      </w:r>
      <w:r w:rsidR="0054438C" w:rsidRPr="0054438C">
        <w:rPr>
          <w:rFonts w:ascii="QCF2554" w:eastAsiaTheme="minorHAnsi" w:hAnsi="QCF2554" w:cs="QCF2554"/>
          <w:color w:val="000000"/>
          <w:kern w:val="0"/>
          <w:sz w:val="20"/>
          <w:szCs w:val="20"/>
          <w:rtl/>
        </w:rPr>
        <w:t>ﱡ</w:t>
      </w:r>
      <w:r w:rsidR="0054438C">
        <w:rPr>
          <w:rFonts w:ascii="QCF2554" w:eastAsiaTheme="minorHAnsi" w:hAnsi="QCF2554" w:cs="QCF2554"/>
          <w:color w:val="000000"/>
          <w:kern w:val="0"/>
          <w:sz w:val="2"/>
          <w:szCs w:val="2"/>
          <w:rtl/>
        </w:rPr>
        <w:t xml:space="preserve"> </w:t>
      </w:r>
      <w:r w:rsidR="0054438C" w:rsidRPr="0054438C">
        <w:rPr>
          <w:rFonts w:ascii="QCF2BSML" w:eastAsiaTheme="minorHAnsi" w:hAnsi="QCF2BSML" w:cs="QCF2BSML"/>
          <w:color w:val="000000"/>
          <w:kern w:val="0"/>
          <w:sz w:val="20"/>
          <w:szCs w:val="20"/>
          <w:rtl/>
        </w:rPr>
        <w:t>ﱴ</w:t>
      </w:r>
      <w:r w:rsidR="0054438C">
        <w:rPr>
          <w:rFonts w:ascii="Arial" w:eastAsiaTheme="minorHAnsi" w:hAnsi="Arial" w:cs="Arial"/>
          <w:color w:val="000000"/>
          <w:kern w:val="0"/>
          <w:sz w:val="2"/>
          <w:szCs w:val="2"/>
        </w:rPr>
        <w:t xml:space="preserve"> </w:t>
      </w:r>
      <w:r w:rsidR="0054438C">
        <w:rPr>
          <w:rFonts w:eastAsiaTheme="minorHAnsi" w:hint="cs"/>
          <w:kern w:val="0"/>
          <w:rtl/>
        </w:rPr>
        <w:t xml:space="preserve"> وقال عز وجل</w:t>
      </w:r>
      <w:r w:rsidR="0054438C">
        <w:rPr>
          <w:rFonts w:hint="cs"/>
          <w:rtl/>
        </w:rPr>
        <w:t xml:space="preserve">: </w:t>
      </w:r>
      <w:r w:rsidR="0054438C" w:rsidRPr="0054438C">
        <w:rPr>
          <w:rFonts w:ascii="QCF2BSML" w:eastAsiaTheme="minorHAnsi" w:hAnsi="QCF2BSML" w:cs="QCF2BSML"/>
          <w:color w:val="000000"/>
          <w:kern w:val="0"/>
          <w:sz w:val="20"/>
          <w:szCs w:val="20"/>
          <w:rtl/>
        </w:rPr>
        <w:t>ﱵﭐ</w:t>
      </w:r>
      <w:r w:rsidR="0054438C">
        <w:rPr>
          <w:rFonts w:ascii="QCF2563" w:eastAsiaTheme="minorHAnsi" w:hAnsi="QCF2563" w:cs="QCF2563"/>
          <w:color w:val="000000"/>
          <w:kern w:val="0"/>
          <w:sz w:val="2"/>
          <w:szCs w:val="2"/>
          <w:rtl/>
        </w:rPr>
        <w:t xml:space="preserve"> </w:t>
      </w:r>
      <w:r w:rsidR="0054438C" w:rsidRPr="0054438C">
        <w:rPr>
          <w:rFonts w:ascii="QCF2563" w:eastAsiaTheme="minorHAnsi" w:hAnsi="QCF2563" w:cs="QCF2563"/>
          <w:color w:val="000000"/>
          <w:kern w:val="0"/>
          <w:sz w:val="20"/>
          <w:szCs w:val="20"/>
          <w:rtl/>
        </w:rPr>
        <w:t>ﱝ</w:t>
      </w:r>
      <w:r w:rsidR="0054438C">
        <w:rPr>
          <w:rFonts w:ascii="QCF2563" w:eastAsiaTheme="minorHAnsi" w:hAnsi="QCF2563" w:cs="QCF2563"/>
          <w:color w:val="000000"/>
          <w:kern w:val="0"/>
          <w:sz w:val="2"/>
          <w:szCs w:val="2"/>
          <w:rtl/>
        </w:rPr>
        <w:t xml:space="preserve"> </w:t>
      </w:r>
      <w:r w:rsidR="0054438C" w:rsidRPr="0054438C">
        <w:rPr>
          <w:rFonts w:ascii="QCF2563" w:eastAsiaTheme="minorHAnsi" w:hAnsi="QCF2563" w:cs="QCF2563"/>
          <w:color w:val="000000"/>
          <w:kern w:val="0"/>
          <w:sz w:val="20"/>
          <w:szCs w:val="20"/>
          <w:rtl/>
        </w:rPr>
        <w:t>ﱞ</w:t>
      </w:r>
      <w:r w:rsidR="0054438C">
        <w:rPr>
          <w:rFonts w:ascii="QCF2563" w:eastAsiaTheme="minorHAnsi" w:hAnsi="QCF2563" w:cs="QCF2563"/>
          <w:color w:val="000000"/>
          <w:kern w:val="0"/>
          <w:sz w:val="2"/>
          <w:szCs w:val="2"/>
          <w:rtl/>
        </w:rPr>
        <w:t xml:space="preserve"> </w:t>
      </w:r>
      <w:r w:rsidR="0054438C" w:rsidRPr="0054438C">
        <w:rPr>
          <w:rFonts w:ascii="QCF2563" w:eastAsiaTheme="minorHAnsi" w:hAnsi="QCF2563" w:cs="QCF2563"/>
          <w:color w:val="000000"/>
          <w:kern w:val="0"/>
          <w:sz w:val="20"/>
          <w:szCs w:val="20"/>
          <w:rtl/>
        </w:rPr>
        <w:t>ﱟﱠ</w:t>
      </w:r>
      <w:r w:rsidR="0054438C">
        <w:rPr>
          <w:rFonts w:ascii="QCF2563" w:eastAsiaTheme="minorHAnsi" w:hAnsi="QCF2563" w:cs="QCF2563"/>
          <w:color w:val="000000"/>
          <w:kern w:val="0"/>
          <w:sz w:val="2"/>
          <w:szCs w:val="2"/>
          <w:rtl/>
        </w:rPr>
        <w:t xml:space="preserve"> </w:t>
      </w:r>
      <w:r w:rsidR="0054438C" w:rsidRPr="0054438C">
        <w:rPr>
          <w:rFonts w:ascii="QCF2BSML" w:eastAsiaTheme="minorHAnsi" w:hAnsi="QCF2BSML" w:cs="QCF2BSML"/>
          <w:color w:val="000000"/>
          <w:kern w:val="0"/>
          <w:sz w:val="20"/>
          <w:szCs w:val="20"/>
          <w:rtl/>
        </w:rPr>
        <w:t>ﱴ</w:t>
      </w:r>
      <w:r w:rsidR="0054438C">
        <w:rPr>
          <w:rFonts w:ascii="Arial" w:eastAsiaTheme="minorHAnsi" w:hAnsi="Arial" w:cs="Arial"/>
          <w:color w:val="000000"/>
          <w:kern w:val="0"/>
          <w:sz w:val="2"/>
          <w:szCs w:val="2"/>
        </w:rPr>
        <w:t xml:space="preserve"> </w:t>
      </w:r>
      <w:r w:rsidR="0054438C">
        <w:rPr>
          <w:rFonts w:hint="cs"/>
          <w:rtl/>
        </w:rPr>
        <w:t>.</w:t>
      </w:r>
    </w:p>
  </w:footnote>
  <w:footnote w:id="18">
    <w:p w14:paraId="3CAB079A" w14:textId="70891EEE" w:rsidR="0054438C" w:rsidRPr="0054438C" w:rsidRDefault="0054438C" w:rsidP="0054438C">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t xml:space="preserve"> </w:t>
      </w:r>
      <w:r>
        <w:rPr>
          <w:rFonts w:hint="cs"/>
          <w:rtl/>
        </w:rPr>
        <w:t xml:space="preserve">قال تعالى: </w:t>
      </w:r>
      <w:r w:rsidRPr="0054438C">
        <w:rPr>
          <w:rFonts w:ascii="QCF2BSML" w:eastAsiaTheme="minorHAnsi" w:hAnsi="QCF2BSML" w:cs="QCF2BSML"/>
          <w:color w:val="000000"/>
          <w:kern w:val="0"/>
          <w:sz w:val="20"/>
          <w:szCs w:val="20"/>
          <w:rtl/>
        </w:rPr>
        <w:t>ﱵﭐ</w:t>
      </w:r>
      <w:r>
        <w:rPr>
          <w:rFonts w:ascii="QCF2538" w:eastAsiaTheme="minorHAnsi" w:hAnsi="QCF2538" w:cs="QCF2538"/>
          <w:color w:val="000000"/>
          <w:kern w:val="0"/>
          <w:sz w:val="2"/>
          <w:szCs w:val="2"/>
          <w:rtl/>
        </w:rPr>
        <w:t xml:space="preserve"> </w:t>
      </w:r>
      <w:r w:rsidRPr="0054438C">
        <w:rPr>
          <w:rFonts w:ascii="QCF2538" w:eastAsiaTheme="minorHAnsi" w:hAnsi="QCF2538" w:cs="QCF2538"/>
          <w:color w:val="000000"/>
          <w:kern w:val="0"/>
          <w:sz w:val="20"/>
          <w:szCs w:val="20"/>
          <w:rtl/>
        </w:rPr>
        <w:t>ﲁ</w:t>
      </w:r>
      <w:r>
        <w:rPr>
          <w:rFonts w:ascii="QCF2538" w:eastAsiaTheme="minorHAnsi" w:hAnsi="QCF2538" w:cs="QCF2538"/>
          <w:color w:val="000000"/>
          <w:kern w:val="0"/>
          <w:sz w:val="2"/>
          <w:szCs w:val="2"/>
          <w:rtl/>
        </w:rPr>
        <w:t xml:space="preserve"> </w:t>
      </w:r>
      <w:r w:rsidRPr="0054438C">
        <w:rPr>
          <w:rFonts w:ascii="QCF2538" w:eastAsiaTheme="minorHAnsi" w:hAnsi="QCF2538" w:cs="QCF2538"/>
          <w:color w:val="000000"/>
          <w:kern w:val="0"/>
          <w:sz w:val="20"/>
          <w:szCs w:val="20"/>
          <w:rtl/>
        </w:rPr>
        <w:t>ﲂ</w:t>
      </w:r>
      <w:r>
        <w:rPr>
          <w:rFonts w:ascii="QCF2538" w:eastAsiaTheme="minorHAnsi" w:hAnsi="QCF2538" w:cs="QCF2538"/>
          <w:color w:val="000000"/>
          <w:kern w:val="0"/>
          <w:sz w:val="2"/>
          <w:szCs w:val="2"/>
          <w:rtl/>
        </w:rPr>
        <w:t xml:space="preserve"> </w:t>
      </w:r>
      <w:r w:rsidRPr="0054438C">
        <w:rPr>
          <w:rFonts w:ascii="QCF2538" w:eastAsiaTheme="minorHAnsi" w:hAnsi="QCF2538" w:cs="QCF2538"/>
          <w:color w:val="000000"/>
          <w:kern w:val="0"/>
          <w:sz w:val="20"/>
          <w:szCs w:val="20"/>
          <w:rtl/>
        </w:rPr>
        <w:t>ﲃ</w:t>
      </w:r>
      <w:r>
        <w:rPr>
          <w:rFonts w:ascii="QCF2538" w:eastAsiaTheme="minorHAnsi" w:hAnsi="QCF2538" w:cs="QCF2538"/>
          <w:color w:val="000000"/>
          <w:kern w:val="0"/>
          <w:sz w:val="2"/>
          <w:szCs w:val="2"/>
          <w:rtl/>
        </w:rPr>
        <w:t xml:space="preserve"> </w:t>
      </w:r>
      <w:r w:rsidRPr="0054438C">
        <w:rPr>
          <w:rFonts w:ascii="QCF2538" w:eastAsiaTheme="minorHAnsi" w:hAnsi="QCF2538" w:cs="QCF2538"/>
          <w:color w:val="000000"/>
          <w:kern w:val="0"/>
          <w:sz w:val="20"/>
          <w:szCs w:val="20"/>
          <w:rtl/>
        </w:rPr>
        <w:t>ﲄ</w:t>
      </w:r>
      <w:r>
        <w:rPr>
          <w:rFonts w:ascii="QCF2538" w:eastAsiaTheme="minorHAnsi" w:hAnsi="QCF2538" w:cs="QCF2538"/>
          <w:color w:val="000000"/>
          <w:kern w:val="0"/>
          <w:sz w:val="2"/>
          <w:szCs w:val="2"/>
          <w:rtl/>
        </w:rPr>
        <w:t xml:space="preserve"> </w:t>
      </w:r>
      <w:r w:rsidRPr="0054438C">
        <w:rPr>
          <w:rFonts w:ascii="QCF2538" w:eastAsiaTheme="minorHAnsi" w:hAnsi="QCF2538" w:cs="QCF2538"/>
          <w:color w:val="000000"/>
          <w:kern w:val="0"/>
          <w:sz w:val="20"/>
          <w:szCs w:val="20"/>
          <w:rtl/>
        </w:rPr>
        <w:t>ﲅ</w:t>
      </w:r>
      <w:r>
        <w:rPr>
          <w:rFonts w:ascii="QCF2538" w:eastAsiaTheme="minorHAnsi" w:hAnsi="QCF2538" w:cs="QCF2538"/>
          <w:color w:val="000000"/>
          <w:kern w:val="0"/>
          <w:sz w:val="2"/>
          <w:szCs w:val="2"/>
          <w:rtl/>
        </w:rPr>
        <w:t xml:space="preserve"> </w:t>
      </w:r>
      <w:r w:rsidRPr="0054438C">
        <w:rPr>
          <w:rFonts w:ascii="QCF2538" w:eastAsiaTheme="minorHAnsi" w:hAnsi="QCF2538" w:cs="QCF2538"/>
          <w:color w:val="000000"/>
          <w:kern w:val="0"/>
          <w:sz w:val="20"/>
          <w:szCs w:val="20"/>
          <w:rtl/>
        </w:rPr>
        <w:t>ﲆ</w:t>
      </w:r>
      <w:r>
        <w:rPr>
          <w:rFonts w:ascii="QCF2538" w:eastAsiaTheme="minorHAnsi" w:hAnsi="QCF2538" w:cs="QCF2538"/>
          <w:color w:val="000000"/>
          <w:kern w:val="0"/>
          <w:sz w:val="2"/>
          <w:szCs w:val="2"/>
          <w:rtl/>
        </w:rPr>
        <w:t xml:space="preserve">  </w:t>
      </w:r>
      <w:r w:rsidRPr="0054438C">
        <w:rPr>
          <w:rFonts w:ascii="QCF2538" w:eastAsiaTheme="minorHAnsi" w:hAnsi="QCF2538" w:cs="QCF2538"/>
          <w:color w:val="000000"/>
          <w:kern w:val="0"/>
          <w:sz w:val="20"/>
          <w:szCs w:val="20"/>
          <w:rtl/>
        </w:rPr>
        <w:t>ﲇ</w:t>
      </w:r>
      <w:r>
        <w:rPr>
          <w:rFonts w:ascii="QCF2538" w:eastAsiaTheme="minorHAnsi" w:hAnsi="QCF2538" w:cs="QCF2538"/>
          <w:color w:val="000000"/>
          <w:kern w:val="0"/>
          <w:sz w:val="2"/>
          <w:szCs w:val="2"/>
          <w:rtl/>
        </w:rPr>
        <w:t xml:space="preserve"> </w:t>
      </w:r>
      <w:r w:rsidRPr="0054438C">
        <w:rPr>
          <w:rFonts w:ascii="QCF2538" w:eastAsiaTheme="minorHAnsi" w:hAnsi="QCF2538" w:cs="QCF2538"/>
          <w:color w:val="000000"/>
          <w:kern w:val="0"/>
          <w:sz w:val="20"/>
          <w:szCs w:val="20"/>
          <w:rtl/>
        </w:rPr>
        <w:t>ﲈﲉ</w:t>
      </w:r>
      <w:r>
        <w:rPr>
          <w:rFonts w:ascii="QCF2538" w:eastAsiaTheme="minorHAnsi" w:hAnsi="QCF2538" w:cs="QCF2538"/>
          <w:color w:val="000000"/>
          <w:kern w:val="0"/>
          <w:sz w:val="2"/>
          <w:szCs w:val="2"/>
          <w:rtl/>
        </w:rPr>
        <w:t xml:space="preserve"> </w:t>
      </w:r>
      <w:r w:rsidRPr="0054438C">
        <w:rPr>
          <w:rFonts w:ascii="QCF2BSML" w:eastAsiaTheme="minorHAnsi" w:hAnsi="QCF2BSML" w:cs="QCF2BSML"/>
          <w:color w:val="000000"/>
          <w:kern w:val="0"/>
          <w:sz w:val="20"/>
          <w:szCs w:val="20"/>
          <w:rtl/>
        </w:rPr>
        <w:t>ﱴ</w:t>
      </w:r>
      <w:r>
        <w:rPr>
          <w:rFonts w:ascii="Arial" w:eastAsiaTheme="minorHAnsi" w:hAnsi="Arial" w:cs="Arial"/>
          <w:color w:val="000000"/>
          <w:kern w:val="0"/>
          <w:sz w:val="2"/>
          <w:szCs w:val="2"/>
        </w:rPr>
        <w:t xml:space="preserve"> </w:t>
      </w:r>
      <w:r>
        <w:rPr>
          <w:rFonts w:hint="cs"/>
          <w:rtl/>
        </w:rPr>
        <w:t>.</w:t>
      </w:r>
    </w:p>
  </w:footnote>
  <w:footnote w:id="19">
    <w:p w14:paraId="11AE39C4" w14:textId="52D74438" w:rsidR="0054438C" w:rsidRPr="0054438C" w:rsidRDefault="0054438C" w:rsidP="0054438C">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المعونة على مذهب عالم المدينة، للقاضي عبد الوهاب البغدادي المالكي، تحقيق خميس عبد الحق، مكتبة الرياض الحديثة، مكة المكرمة، ط1، ج2، ص751.</w:t>
      </w:r>
    </w:p>
  </w:footnote>
  <w:footnote w:id="20">
    <w:p w14:paraId="543C3A56" w14:textId="562D3D3E" w:rsidR="0054438C" w:rsidRPr="0054438C" w:rsidRDefault="0054438C" w:rsidP="0054438C">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المغني، لابن قدامة، تحقيق عبد الله التركي وعبد الفتاح الحلو، دار هجر للنشر، ط1، ج4، ص495، ج5، ص21، كتاب الشركة.</w:t>
      </w:r>
    </w:p>
  </w:footnote>
  <w:footnote w:id="21">
    <w:p w14:paraId="5E042C02" w14:textId="204929C1" w:rsidR="0054438C" w:rsidRPr="0054438C" w:rsidRDefault="0054438C" w:rsidP="0054438C">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المعجم الوجيز، ص163، مرجع سابق.</w:t>
      </w:r>
    </w:p>
  </w:footnote>
  <w:footnote w:id="22">
    <w:p w14:paraId="39796AA4" w14:textId="6ED05157" w:rsidR="00A465C6" w:rsidRPr="00A465C6" w:rsidRDefault="00A465C6" w:rsidP="00A465C6">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أ.د/ أحمد الحصري وآخرون، الفقه الإسلامي، مطبعة دار التأليف، 1969م، ص163، مرجع سابق.</w:t>
      </w:r>
    </w:p>
  </w:footnote>
  <w:footnote w:id="23">
    <w:p w14:paraId="08ECEAA6" w14:textId="39E4D122" w:rsidR="00A465C6" w:rsidRPr="00A465C6" w:rsidRDefault="00A465C6" w:rsidP="00A465C6">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أ.د/ بدران أبو العينين، تاريخ الفقه الإسلامي، دار النهضة العربية، بيروت، ص283.</w:t>
      </w:r>
    </w:p>
  </w:footnote>
  <w:footnote w:id="24">
    <w:p w14:paraId="1D2B582F" w14:textId="132E58B1" w:rsidR="00BD6F91" w:rsidRPr="00BD6F91" w:rsidRDefault="00BD6F91" w:rsidP="00BD6F91">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تحفة المحتاج، اسن حجر الهيثمي، مطبعة بولاق، مصر، ج7، ص61.</w:t>
      </w:r>
    </w:p>
  </w:footnote>
  <w:footnote w:id="25">
    <w:p w14:paraId="6FB1FDCE" w14:textId="56667BE7" w:rsidR="00BD6F91" w:rsidRPr="00BD6F91" w:rsidRDefault="00BD6F91" w:rsidP="00BD6F91">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أ.د/ عبد المنعم البدراوي، الحقوق العينية الأصلية، مطابع دار الكتاب العربي، مصر، 1956م، ص256.</w:t>
      </w:r>
    </w:p>
  </w:footnote>
  <w:footnote w:id="26">
    <w:p w14:paraId="29A45123" w14:textId="6C83AA77" w:rsidR="00BD6F91" w:rsidRPr="00BD6F91" w:rsidRDefault="00BD6F91" w:rsidP="00BD6F91">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الشيخ الدكتور/ علي الخفيف، المنافع، بحث منشور في مجلة القانون والاقتصاد، الصادرة عن الجمعية المصرية للاقتصاد والتشريع.</w:t>
      </w:r>
    </w:p>
  </w:footnote>
  <w:footnote w:id="27">
    <w:p w14:paraId="340C3956" w14:textId="38955609" w:rsidR="00BA2708" w:rsidRPr="00BA2708" w:rsidRDefault="00BA2708" w:rsidP="00BA2708">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أ. د/ بدران أبو العينين، تاريخ الفقه الإسلامي، ص305، مرجع سابق.</w:t>
      </w:r>
    </w:p>
  </w:footnote>
  <w:footnote w:id="28">
    <w:p w14:paraId="14FC27E8" w14:textId="14535F98" w:rsidR="00BA2708" w:rsidRPr="00BA2708" w:rsidRDefault="00BA2708" w:rsidP="00BA2708">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الشيخ الدكتور/ مصطفى أحمد الزرقا، المدخل الفقهي العام، دار القلم، دمشق، ط2، 2004م، ج1، ص333.</w:t>
      </w:r>
    </w:p>
  </w:footnote>
  <w:footnote w:id="29">
    <w:p w14:paraId="08BE29FA" w14:textId="08F5B3A8" w:rsidR="004B3B17" w:rsidRPr="00BA2708" w:rsidRDefault="004B3B17" w:rsidP="004B3B17">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الهداية للمرغنيناني، دار الفكر، بيروت، ط1، ج6، ص206، وراجع: فتح القدير للكمال بن الهمام، دار الفكر، بيروت، ط1، ج6، ص203.</w:t>
      </w:r>
    </w:p>
  </w:footnote>
  <w:footnote w:id="30">
    <w:p w14:paraId="73264B11" w14:textId="6806D0EE" w:rsidR="00EF755D" w:rsidRPr="00BA2708" w:rsidRDefault="00EF755D" w:rsidP="00EF755D">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تبيين الحقائق، الزيلعي، دار الكتاب الإسلامي، بيروت، ط2، ج3، ص325.</w:t>
      </w:r>
    </w:p>
  </w:footnote>
  <w:footnote w:id="31">
    <w:p w14:paraId="2FAA723C" w14:textId="5723D48B" w:rsidR="00EF755D" w:rsidRPr="00BA2708" w:rsidRDefault="00EF755D" w:rsidP="00EF755D">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مواهب الجليل للحطاب، ج6، ص18، دار الفكر، بيروت، 1992.</w:t>
      </w:r>
    </w:p>
  </w:footnote>
  <w:footnote w:id="32">
    <w:p w14:paraId="58CE39FC" w14:textId="31B11FDB" w:rsidR="00EF755D" w:rsidRPr="00EF755D" w:rsidRDefault="00EF755D" w:rsidP="00EF755D">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مغني المحتاج، للخطيب الشربيني، دار الكتب العلمية، بيروت، 1994، ج3، </w:t>
      </w:r>
      <w:r>
        <w:rPr>
          <w:rFonts w:hint="cs"/>
          <w:rtl/>
        </w:rPr>
        <w:t>ص522، وراجع: الإنصاف، للمرداوي،  المطبوع مع المقنع والشرح الكبير، دار هجر للطباعة والنشر، 1415هـ، ج16، ص420.</w:t>
      </w:r>
    </w:p>
  </w:footnote>
  <w:footnote w:id="33">
    <w:p w14:paraId="3C0BBB7A" w14:textId="58C55317" w:rsidR="00EF755D" w:rsidRPr="00EF755D" w:rsidRDefault="00EF755D" w:rsidP="00EF755D">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sidR="00C76C1F">
        <w:rPr>
          <w:rFonts w:hint="cs"/>
          <w:rtl/>
        </w:rPr>
        <w:t>بدائع الصنائع، للكاساني، دار الكتب العلمية، بيروت، ط2، 1986، ج5، ص220.</w:t>
      </w:r>
    </w:p>
  </w:footnote>
  <w:footnote w:id="34">
    <w:p w14:paraId="745F1CBE" w14:textId="460E6218" w:rsidR="00C76C1F" w:rsidRPr="00EF755D" w:rsidRDefault="00C76C1F" w:rsidP="00C76C1F">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المبسوط، للسرخسي، دار المعرفة، بيروت، 1989، ج12، ص41.</w:t>
      </w:r>
    </w:p>
  </w:footnote>
  <w:footnote w:id="35">
    <w:p w14:paraId="261928D1" w14:textId="47D5A0C5" w:rsidR="00C76C1F" w:rsidRPr="00C76C1F" w:rsidRDefault="00C76C1F" w:rsidP="00C76C1F">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بدائع الصنائع، للكاساني، ج5، ص220، مرجع سابق.</w:t>
      </w:r>
    </w:p>
  </w:footnote>
  <w:footnote w:id="36">
    <w:p w14:paraId="40F3BC4C" w14:textId="61B3E989" w:rsidR="00C76C1F" w:rsidRPr="00C76C1F" w:rsidRDefault="00C76C1F" w:rsidP="00B8354A">
      <w:pPr>
        <w:pStyle w:val="FootnoteText"/>
        <w:spacing w:before="0"/>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حاشية ابن عابدين، ردّ المحتار على الدرّ المختار، دار الفكر، بيروت، 1979، ج4، ص384.</w:t>
      </w:r>
    </w:p>
  </w:footnote>
  <w:footnote w:id="37">
    <w:p w14:paraId="62350581" w14:textId="0B1C1737" w:rsidR="00C76C1F" w:rsidRPr="00C76C1F" w:rsidRDefault="00C76C1F" w:rsidP="00B8354A">
      <w:pPr>
        <w:pStyle w:val="FootnoteText"/>
        <w:spacing w:before="0"/>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د/ إبراهيم محمود عبد الباقي، رسالة دكتوراه بعنوان: دور الوقف في تنمية المجتمع المدني، من منشورات الأمانة العامة للأوقاف بدولة الكويت، 2006، ص35، وقد رجع في هذه الجزئية للكتاب: الذخيرة للقرافي، ج6، ص311 وما بعدها.</w:t>
      </w:r>
    </w:p>
  </w:footnote>
  <w:footnote w:id="38">
    <w:p w14:paraId="67523259" w14:textId="7C68F8BF" w:rsidR="00B8354A" w:rsidRPr="00B8354A" w:rsidRDefault="00B8354A" w:rsidP="00B8354A">
      <w:pPr>
        <w:pStyle w:val="FootnoteText"/>
        <w:spacing w:before="0"/>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نهاية المحتاج، لأبي العباس أحمد بن حمزة بن شهاب الدين الرملي، دار الفكر، بيروت، 1984، ج5، ص360 وما بعدها باختصار.</w:t>
      </w:r>
    </w:p>
  </w:footnote>
  <w:footnote w:id="39">
    <w:p w14:paraId="09581AFD" w14:textId="2A5AFC4B" w:rsidR="000D1426" w:rsidRPr="000D1426" w:rsidRDefault="000D1426" w:rsidP="000D1426">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معونة أولى النهي شرح المنتهي، لابن النجّار تحقيق د/ </w:t>
      </w:r>
      <w:r>
        <w:rPr>
          <w:rFonts w:hint="cs"/>
          <w:rtl/>
        </w:rPr>
        <w:t>عبد الملك بن دهيس، دار خضر للطباعة والنشر، بيروت، 1996، ج5، ص758.</w:t>
      </w:r>
    </w:p>
  </w:footnote>
  <w:footnote w:id="40">
    <w:p w14:paraId="08D261DD" w14:textId="4F377F52" w:rsidR="000D1426" w:rsidRPr="000D1426" w:rsidRDefault="000D1426" w:rsidP="000D1426">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sidR="00D53CFB">
        <w:rPr>
          <w:rFonts w:hint="cs"/>
          <w:rtl/>
        </w:rPr>
        <w:t>وهو أحد الكتب المعتمدة في مذهب الحنابلة.</w:t>
      </w:r>
    </w:p>
  </w:footnote>
  <w:footnote w:id="41">
    <w:p w14:paraId="2C371A33" w14:textId="38D431E9" w:rsidR="000D1426" w:rsidRPr="000D1426" w:rsidRDefault="000D1426" w:rsidP="000D1426">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أي على النفس.</w:t>
      </w:r>
    </w:p>
  </w:footnote>
  <w:footnote w:id="42">
    <w:p w14:paraId="515AA015" w14:textId="59505AFD" w:rsidR="00D53CFB" w:rsidRPr="00D53CFB" w:rsidRDefault="00D53CFB" w:rsidP="00D53CFB">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أي في عين ملكه.</w:t>
      </w:r>
    </w:p>
  </w:footnote>
  <w:footnote w:id="43">
    <w:p w14:paraId="16984E91" w14:textId="40DD6073" w:rsidR="007F3EF4" w:rsidRPr="007F3EF4" w:rsidRDefault="007F3EF4" w:rsidP="007F3EF4">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أي كما لو أفرد منع نفسه من التصرف فيما يملك.</w:t>
      </w:r>
    </w:p>
  </w:footnote>
  <w:footnote w:id="44">
    <w:p w14:paraId="64D48B95" w14:textId="25F0AEA6" w:rsidR="007F3EF4" w:rsidRPr="007F3EF4" w:rsidRDefault="007F3EF4" w:rsidP="007F3EF4">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هو الذي لا يوجد له مستحق عند الإنشاء كما لو قال: وقفت مالي ولم يعيّن الجهة الموقوف عليها.</w:t>
      </w:r>
    </w:p>
  </w:footnote>
  <w:footnote w:id="45">
    <w:p w14:paraId="74A789D9" w14:textId="6B737787" w:rsidR="007F3EF4" w:rsidRPr="007F3EF4" w:rsidRDefault="007F3EF4" w:rsidP="007F3EF4">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معونة أولى النهي لابن النجار، ج5، ص759، مرجع سابق.</w:t>
      </w:r>
    </w:p>
  </w:footnote>
  <w:footnote w:id="46">
    <w:p w14:paraId="14C78BAA" w14:textId="421BAA39" w:rsidR="00093F04" w:rsidRPr="00093F04" w:rsidRDefault="00093F04" w:rsidP="00093F04">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المبسوط، للسرخسي، دار المعرفة، بيروت، 1989، ج2، ص41.</w:t>
      </w:r>
    </w:p>
  </w:footnote>
  <w:footnote w:id="47">
    <w:p w14:paraId="4DAF7E16" w14:textId="7959B267" w:rsidR="00093F04" w:rsidRPr="00093F04" w:rsidRDefault="00093F04" w:rsidP="00093F04">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المغني لابن قدامة، مكتبة الرياض الحديثة، بالرياض، 1401، ج5، ص604.</w:t>
      </w:r>
    </w:p>
  </w:footnote>
  <w:footnote w:id="48">
    <w:p w14:paraId="547D76E8" w14:textId="73F43ED5" w:rsidR="00093F04" w:rsidRPr="00093F04" w:rsidRDefault="00093F04" w:rsidP="00093F04">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شرح منتهى الإرادات، </w:t>
      </w:r>
      <w:r>
        <w:rPr>
          <w:rFonts w:hint="cs"/>
          <w:rtl/>
        </w:rPr>
        <w:t>منصور بن يوسف ال</w:t>
      </w:r>
      <w:r w:rsidR="00A64C75">
        <w:rPr>
          <w:rFonts w:hint="cs"/>
          <w:rtl/>
        </w:rPr>
        <w:t>بهوتي، ج2، ص494.</w:t>
      </w:r>
    </w:p>
  </w:footnote>
  <w:footnote w:id="49">
    <w:p w14:paraId="25C01A0E" w14:textId="6B1C5E3F" w:rsidR="00A64C75" w:rsidRPr="00A64C75" w:rsidRDefault="00A64C75" w:rsidP="00A64C75">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حاشية ابن عابدين، (ردّ المحتار على الدرّ المختار)، دار الفكر، بيروت، 1979، ج4، ص384.</w:t>
      </w:r>
    </w:p>
  </w:footnote>
  <w:footnote w:id="50">
    <w:p w14:paraId="32805C28" w14:textId="4BDA271F" w:rsidR="00A64C75" w:rsidRPr="00A64C75" w:rsidRDefault="00A64C75" w:rsidP="00A64C75">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إعلام الموقعين لان قيم الجوزية، دار الجيل، بيروت، ج3، ص373.</w:t>
      </w:r>
    </w:p>
  </w:footnote>
  <w:footnote w:id="51">
    <w:p w14:paraId="1CA9C9E1" w14:textId="0F6ECC1F" w:rsidR="00A64C75" w:rsidRPr="00A64C75" w:rsidRDefault="00A64C75" w:rsidP="00A64C75">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نيل الأوطار للشوكاني، دار الكتب العلمية، بيروت، ج6، ص132.</w:t>
      </w:r>
    </w:p>
  </w:footnote>
  <w:footnote w:id="52">
    <w:p w14:paraId="1AEEE22C" w14:textId="2A4BA7E7" w:rsidR="00A64C75" w:rsidRPr="00A64C75" w:rsidRDefault="00A64C75" w:rsidP="00A64C75">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القواعد لابن رجب الحنبلي، مراجعة طه عبد الرؤوف سعد، مكتبة الكليات الأزهرية، مصر، ط1، 1972، القاعدة الثانية والثلاثون، ص41.</w:t>
      </w:r>
    </w:p>
  </w:footnote>
  <w:footnote w:id="53">
    <w:p w14:paraId="7DAF7FC3" w14:textId="24A0F1F8" w:rsidR="00534996" w:rsidRPr="00534996" w:rsidRDefault="00534996" w:rsidP="00534996">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القواعد لابن رجب، القاعدة السبعون، ص131.</w:t>
      </w:r>
    </w:p>
  </w:footnote>
  <w:footnote w:id="54">
    <w:p w14:paraId="5DE9A2FB" w14:textId="62F7C0B2" w:rsidR="00534996" w:rsidRPr="00534996" w:rsidRDefault="00534996" w:rsidP="00534996">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الإمام محمد أبو زهرة، محاضرات في الوقف، دار الفكر العربي، بالقاهرة، 2009، ص183.</w:t>
      </w:r>
    </w:p>
  </w:footnote>
  <w:footnote w:id="55">
    <w:p w14:paraId="6F115BA6" w14:textId="55BE2A4A" w:rsidR="008F2E00" w:rsidRPr="008F2E00" w:rsidRDefault="008F2E00" w:rsidP="008F2E00">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محاضرات في الوقف</w:t>
      </w:r>
      <w:r w:rsidR="00A407DD">
        <w:rPr>
          <w:rFonts w:hint="cs"/>
          <w:rtl/>
        </w:rPr>
        <w:t>،</w:t>
      </w:r>
      <w:r>
        <w:rPr>
          <w:rFonts w:hint="cs"/>
          <w:rtl/>
        </w:rPr>
        <w:t xml:space="preserve"> للشيخ</w:t>
      </w:r>
      <w:r w:rsidR="00A407DD">
        <w:rPr>
          <w:rFonts w:hint="cs"/>
          <w:rtl/>
        </w:rPr>
        <w:t xml:space="preserve"> الإمام محمد أبو زهرة، ص193، مرجع سابق.</w:t>
      </w:r>
    </w:p>
  </w:footnote>
  <w:footnote w:id="56">
    <w:p w14:paraId="0ED0D6BB" w14:textId="58316235" w:rsidR="0036778F" w:rsidRPr="0036778F" w:rsidRDefault="0036778F" w:rsidP="0036778F">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صحيح مسلم بشرح النووي، دار ابن الجوزي، بالقاهرة، ط1، 2011، ج7، ص77.</w:t>
      </w:r>
    </w:p>
  </w:footnote>
  <w:footnote w:id="57">
    <w:p w14:paraId="10DAF17F" w14:textId="21D4582D" w:rsidR="005D1CB4" w:rsidRPr="005D1CB4" w:rsidRDefault="005D1CB4" w:rsidP="005D1CB4">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سنن أبي داوود، دار الحديث للطباعة والنشر، بيروت، ط1، 1388، حديث رقم 1691.</w:t>
      </w:r>
    </w:p>
  </w:footnote>
  <w:footnote w:id="58">
    <w:p w14:paraId="20E2C412" w14:textId="5E08A1BD" w:rsidR="0048510D" w:rsidRPr="0048510D" w:rsidRDefault="0048510D" w:rsidP="0048510D">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البدنة المقلّدة هي: واحدة الإبل المهداة إلى </w:t>
      </w:r>
      <w:r>
        <w:rPr>
          <w:rFonts w:hint="cs"/>
          <w:rtl/>
        </w:rPr>
        <w:t>البيت الحرام والمسمّاة بالهَدْي.</w:t>
      </w:r>
    </w:p>
  </w:footnote>
  <w:footnote w:id="59">
    <w:p w14:paraId="0DC1E02E" w14:textId="409638BC" w:rsidR="0048510D" w:rsidRPr="0048510D" w:rsidRDefault="0048510D" w:rsidP="0048510D">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دلالة الحال هنا: أن الرجل كان يحج ماشيًا ويسوق البدنة أمامه.</w:t>
      </w:r>
    </w:p>
  </w:footnote>
  <w:footnote w:id="60">
    <w:p w14:paraId="30340E12" w14:textId="324A16F4" w:rsidR="00486291" w:rsidRPr="00486291" w:rsidRDefault="00486291" w:rsidP="00486291">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فتح القدير للكمال بن الهمام، دار الفكر، بيروت، ط1، ج6، ص203.</w:t>
      </w:r>
    </w:p>
  </w:footnote>
  <w:footnote w:id="61">
    <w:p w14:paraId="3364700A" w14:textId="17FE30FC" w:rsidR="00486291" w:rsidRPr="00486291" w:rsidRDefault="00486291" w:rsidP="00486291">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زهدي يكن، الوقف في الشريعة الإسلامية، دار النهضة العربية، بيروت، ط1، 1964، ص12.</w:t>
      </w:r>
    </w:p>
  </w:footnote>
  <w:footnote w:id="62">
    <w:p w14:paraId="5777FFAE" w14:textId="2E930586" w:rsidR="0088429D" w:rsidRPr="0088429D" w:rsidRDefault="0088429D" w:rsidP="0088429D">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المبسوط للسرخسي، ج15، ص75، (كتاب الإجارة).</w:t>
      </w:r>
    </w:p>
  </w:footnote>
  <w:footnote w:id="63">
    <w:p w14:paraId="0C142E99" w14:textId="1F24C00E" w:rsidR="0088429D" w:rsidRPr="0088429D" w:rsidRDefault="0088429D" w:rsidP="0088429D">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تبيين الحقائق، للزيلعي، ج4، ص87، باب الربا.</w:t>
      </w:r>
    </w:p>
  </w:footnote>
  <w:footnote w:id="64">
    <w:p w14:paraId="4024D7FD" w14:textId="2EB4757B" w:rsidR="0088429D" w:rsidRPr="0088429D" w:rsidRDefault="0088429D" w:rsidP="0088429D">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المعيار المعرب والجامع المغرب عن فتاوي علماء أفريقيا والأندلس والمغرب، لأحمد بن يحيى الونشريسي، دار الغرب الإسلامي، بيروت، ج1، ص87.</w:t>
      </w:r>
    </w:p>
  </w:footnote>
  <w:footnote w:id="65">
    <w:p w14:paraId="2DF94846" w14:textId="3C17A086" w:rsidR="00E43665" w:rsidRPr="00E43665" w:rsidRDefault="00E43665" w:rsidP="00E43665">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الوسيط في المذهب، للإمام الغزالي، تحقيق/ أحمد محود إبراهيم، دار السلام، بالقاهرة، ط1، ج3، ص237.</w:t>
      </w:r>
    </w:p>
  </w:footnote>
  <w:footnote w:id="66">
    <w:p w14:paraId="780DCFC0" w14:textId="3EC3D954" w:rsidR="00E43665" w:rsidRPr="00E43665" w:rsidRDefault="00E43665" w:rsidP="00E43665">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القبس، لابن العبي، تحقيق د/ محمد عبد الله ولد كريم، دار الغرب الإسلامي، بيروت، 1992، ج2، ص145.</w:t>
      </w:r>
    </w:p>
  </w:footnote>
  <w:footnote w:id="67">
    <w:p w14:paraId="6C600590" w14:textId="13CD035C" w:rsidR="00C60FB4" w:rsidRPr="0048510D" w:rsidRDefault="00C60FB4" w:rsidP="00C60FB4">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الأشباه والنظائر، لتاج الدين السبكي، تحقيق/ عادل أحمد عبد الموجود وعلي محمد معوض، دار الكتب العلمية، بيروت، ط1، 1991، ج1، ص48.</w:t>
      </w:r>
    </w:p>
  </w:footnote>
  <w:footnote w:id="68">
    <w:p w14:paraId="0B2AD588" w14:textId="5F2F4F11" w:rsidR="00C60FB4" w:rsidRPr="0048510D" w:rsidRDefault="00C60FB4" w:rsidP="00C60FB4">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المرافقات للشاطبي، تحقيق د/ عبد الله دراز، دار الكتب العلمية، بيروت، ط1، 1991، ج2، ص370.</w:t>
      </w:r>
    </w:p>
  </w:footnote>
  <w:footnote w:id="69">
    <w:p w14:paraId="108F6A1B" w14:textId="7CB42310" w:rsidR="00C60FB4" w:rsidRPr="0048510D" w:rsidRDefault="00C60FB4" w:rsidP="00C60FB4">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التمهيد، لابن عبد البر، طبع وزارة الأوقاف المغربية، ج17، ص319.</w:t>
      </w:r>
    </w:p>
  </w:footnote>
  <w:footnote w:id="70">
    <w:p w14:paraId="576B0B1F" w14:textId="4CA9AF68" w:rsidR="00C60FB4" w:rsidRPr="0048510D" w:rsidRDefault="00C60FB4" w:rsidP="00C60FB4">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القَبَس، شرح الموطأ، لابن العربي، ج1، ص145، مرجع سابق.</w:t>
      </w:r>
    </w:p>
  </w:footnote>
  <w:footnote w:id="71">
    <w:p w14:paraId="320C1C2D" w14:textId="2EE409AA" w:rsidR="00C60FB4" w:rsidRPr="0048510D" w:rsidRDefault="00C60FB4" w:rsidP="00C60FB4">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sidR="00DB5D5D">
        <w:rPr>
          <w:rFonts w:hint="cs"/>
          <w:rtl/>
        </w:rPr>
        <w:t>مجموع فتاوي شيخ الإسلام ابن تيمية، ج29، ص64.</w:t>
      </w:r>
    </w:p>
  </w:footnote>
  <w:footnote w:id="72">
    <w:p w14:paraId="05071834" w14:textId="3950E0D6" w:rsidR="00CD3B77" w:rsidRPr="0048510D" w:rsidRDefault="00CD3B77" w:rsidP="00CD3B77">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sidR="00DB5D5D">
        <w:rPr>
          <w:rFonts w:hint="cs"/>
          <w:rtl/>
        </w:rPr>
        <w:t>الموافقات، للشاطبي، ج1، ص216، مرجع سابق.</w:t>
      </w:r>
    </w:p>
  </w:footnote>
  <w:footnote w:id="73">
    <w:p w14:paraId="5BF100C6" w14:textId="45A4B92A" w:rsidR="00DB5D5D" w:rsidRPr="0048510D" w:rsidRDefault="00DB5D5D" w:rsidP="00DB5D5D">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المفهم لما أشكل من تلخيص كتاب مسلم لأحمد بن عمر القرطبي، تحقيق/ محيي الدين مستو وآخرون، دار ابن كثير، بيروت، ط1، 1996، ج5، ص176، ص227.</w:t>
      </w:r>
    </w:p>
  </w:footnote>
  <w:footnote w:id="74">
    <w:p w14:paraId="5B844726" w14:textId="60C88BDA" w:rsidR="00DB5D5D" w:rsidRPr="0048510D" w:rsidRDefault="00DB5D5D" w:rsidP="00DB5D5D">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شجرة المعارف والأحوال وصالح الأقوال والأعمال، للعز بن عبد السلام، تحقيق/ إياد خالد الطباع، دار الطبّاع، دمشق، ط1، 1989، ص411.</w:t>
      </w:r>
    </w:p>
  </w:footnote>
  <w:footnote w:id="75">
    <w:p w14:paraId="7DECC579" w14:textId="25850923" w:rsidR="007E11AC" w:rsidRPr="0048510D" w:rsidRDefault="007E11AC" w:rsidP="007E11AC">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الموافقات، للشاطبي، ج2، ص354، ص358، مرجع سابق.</w:t>
      </w:r>
    </w:p>
  </w:footnote>
  <w:footnote w:id="76">
    <w:p w14:paraId="2A7591BF" w14:textId="18FDF95F" w:rsidR="007E11AC" w:rsidRPr="0048510D" w:rsidRDefault="007E11AC" w:rsidP="007E11AC">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مجموع فتاوي شيخ الإسلام، ابن تيمية، ج22، ص298، وإعلام الموقعين، لابن قيم الجوزية، ج2، ص142، مرجع سابق.</w:t>
      </w:r>
    </w:p>
  </w:footnote>
  <w:footnote w:id="77">
    <w:p w14:paraId="68E1E489" w14:textId="20DF75F9" w:rsidR="00326881" w:rsidRPr="0048510D" w:rsidRDefault="00326881" w:rsidP="00326881">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المعلم بفوائد مسلم، للمازري، تحقيق/ محمد الشاذلي، بيت الحكمة، قرطاج، ج2، ص322.</w:t>
      </w:r>
    </w:p>
  </w:footnote>
  <w:footnote w:id="78">
    <w:p w14:paraId="6EEB429B" w14:textId="72792469" w:rsidR="00326881" w:rsidRPr="0048510D" w:rsidRDefault="00326881" w:rsidP="00326881">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المعيار المعرب، للونشريسي، ج1، ص87، مرجع سابق</w:t>
      </w:r>
    </w:p>
  </w:footnote>
  <w:footnote w:id="79">
    <w:p w14:paraId="626DDEAA" w14:textId="7C1E552E" w:rsidR="00326881" w:rsidRPr="0048510D" w:rsidRDefault="00326881" w:rsidP="00326881">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القبس، لابن العربي، ج1، ص145، مرجع سابق.</w:t>
      </w:r>
    </w:p>
  </w:footnote>
  <w:footnote w:id="80">
    <w:p w14:paraId="6995B2D0" w14:textId="2758F346" w:rsidR="00326881" w:rsidRPr="0048510D" w:rsidRDefault="00326881" w:rsidP="00326881">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الموافقات للشاطبي، ج1، ص182، مرجع سابق.</w:t>
      </w:r>
    </w:p>
  </w:footnote>
  <w:footnote w:id="81">
    <w:p w14:paraId="363D2452" w14:textId="7920DDAE" w:rsidR="00326881" w:rsidRPr="0048510D" w:rsidRDefault="00326881" w:rsidP="00326881">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الشيخ مصطفى أحمد الزرقا، المدخل الفقهي العام، تصوير مطبعة طربين، دمشق، ج3، ص146.</w:t>
      </w:r>
    </w:p>
  </w:footnote>
  <w:footnote w:id="82">
    <w:p w14:paraId="6940DC1D" w14:textId="5B729EFC" w:rsidR="0074114B" w:rsidRPr="0048510D" w:rsidRDefault="0074114B" w:rsidP="0074114B">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شرح صحيح مسلم للقاضي عيّاض، تحقيق د/ يحيى إسماعيل، دار الوفاء، بالمنصورة، ج5، ص249.</w:t>
      </w:r>
    </w:p>
  </w:footnote>
  <w:footnote w:id="83">
    <w:p w14:paraId="0B73AFFA" w14:textId="74CA858D" w:rsidR="00B3281F" w:rsidRPr="0048510D" w:rsidRDefault="00B3281F" w:rsidP="00B3281F">
      <w:pPr>
        <w:pStyle w:val="FootnoteText"/>
        <w:spacing w:before="0" w:line="380" w:lineRule="exac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الهداية، للمرغيناني، تصوير دار الفكر، بيروت، 1977، ج6، ص225-227. </w:t>
      </w:r>
    </w:p>
  </w:footnote>
  <w:footnote w:id="84">
    <w:p w14:paraId="656DFC5E" w14:textId="01C0189B" w:rsidR="00B3281F" w:rsidRPr="0048510D" w:rsidRDefault="00B3281F" w:rsidP="00B3281F">
      <w:pPr>
        <w:pStyle w:val="FootnoteText"/>
        <w:spacing w:before="0" w:line="380" w:lineRule="exac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الإسعاف، إبراهيم بن موسى الطرابلسي، دار الرائد العربي، بيروت، 1401هـ، ص94. </w:t>
      </w:r>
    </w:p>
  </w:footnote>
  <w:footnote w:id="85">
    <w:p w14:paraId="38FD5679" w14:textId="78AB3BDC" w:rsidR="00B3281F" w:rsidRPr="0048510D" w:rsidRDefault="00B3281F" w:rsidP="00B3281F">
      <w:pPr>
        <w:pStyle w:val="FootnoteText"/>
        <w:spacing w:before="0" w:line="380" w:lineRule="exac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روضة الطالبين، لأبي زكريا محيي الدين بن شرف النووي، المكتب الإسلامي، بيروت، 1405هـ، ج5، ص318.</w:t>
      </w:r>
    </w:p>
  </w:footnote>
  <w:footnote w:id="86">
    <w:p w14:paraId="0CDC4A0F" w14:textId="768C0A22" w:rsidR="00B3281F" w:rsidRPr="0048510D" w:rsidRDefault="00B3281F" w:rsidP="00B3281F">
      <w:pPr>
        <w:pStyle w:val="FootnoteText"/>
        <w:spacing w:before="0" w:line="380" w:lineRule="exac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نهاية المحتاج، محمد بن أبي العباس أحمد بن حمزة الرملي، مصطفى الحلبي، مصر، 1386هـ، ج5، ص364. </w:t>
      </w:r>
    </w:p>
  </w:footnote>
  <w:footnote w:id="87">
    <w:p w14:paraId="241649D4" w14:textId="0DC8957D" w:rsidR="00B3281F" w:rsidRPr="0048510D" w:rsidRDefault="00B3281F" w:rsidP="00B3281F">
      <w:pPr>
        <w:pStyle w:val="FootnoteText"/>
        <w:spacing w:before="0" w:line="380" w:lineRule="exac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المغني، لابن قدامة، تحقيق د/ عبد الله التركي ود/ عبد الفتاح الحلو، دار هجر للطباعة والنشر، ج8، ص191. </w:t>
      </w:r>
    </w:p>
  </w:footnote>
  <w:footnote w:id="88">
    <w:p w14:paraId="23832F71" w14:textId="6D10B514" w:rsidR="00B3281F" w:rsidRPr="0048510D" w:rsidRDefault="00B3281F" w:rsidP="00B3281F">
      <w:pPr>
        <w:pStyle w:val="FootnoteText"/>
        <w:spacing w:before="0" w:line="380" w:lineRule="exac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الفروع، محمد بن مفلح، مكتبة ابن تيمية، بالقاهرة، ج4، ص457.</w:t>
      </w:r>
    </w:p>
  </w:footnote>
  <w:footnote w:id="89">
    <w:p w14:paraId="2730371F" w14:textId="42DA27A2" w:rsidR="00B3281F" w:rsidRPr="0048510D" w:rsidRDefault="00B3281F" w:rsidP="00B3281F">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الأخيرة، للقرافي، دار الغرب الإسلامي، بيروت، 1994، ج6، ص311، وراجع: حاشية الدسوقي، محمد بن عرفة، دار الفكر، بيروت، ج4، ص80. </w:t>
      </w:r>
    </w:p>
  </w:footnote>
  <w:footnote w:id="90">
    <w:p w14:paraId="5371BE94" w14:textId="2DC9F7E7" w:rsidR="00B3281F" w:rsidRPr="0048510D" w:rsidRDefault="00B3281F" w:rsidP="00B3281F">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الإنصاف للمرداوي مع الشرح الكبير، ج16، ص389. </w:t>
      </w:r>
    </w:p>
  </w:footnote>
  <w:footnote w:id="91">
    <w:p w14:paraId="72FA5A90" w14:textId="0B2AE612" w:rsidR="00C850C3" w:rsidRPr="0048510D" w:rsidRDefault="00C850C3" w:rsidP="00C850C3">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معالم السنن للخطابي المطبوع مع مختصر سنن أبي داوود للمنذري، تحقيق/ محمد حامد الفقي، مطبعة السنة المحمدية، مصر، 1368هـ، ج5، ص201. </w:t>
      </w:r>
    </w:p>
  </w:footnote>
  <w:footnote w:id="92">
    <w:p w14:paraId="1DC73032" w14:textId="574F538B" w:rsidR="00C850C3" w:rsidRPr="0048510D" w:rsidRDefault="00C850C3" w:rsidP="00C850C3">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القواعد لابن رجب، ص41، مرجع سابق.</w:t>
      </w:r>
    </w:p>
  </w:footnote>
  <w:footnote w:id="93">
    <w:p w14:paraId="7F722A5B" w14:textId="5B90BEDE" w:rsidR="00C850C3" w:rsidRPr="0048510D" w:rsidRDefault="00C850C3" w:rsidP="00C850C3">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القواعد والأصول الجامعة، لعبد الرحمن بن ناصر السعدي، مكتبة الإمام الشافعي، بالرياض، ط2، 1410هـ، القاعدة 91. </w:t>
      </w:r>
    </w:p>
  </w:footnote>
  <w:footnote w:id="94">
    <w:p w14:paraId="16D21EC4" w14:textId="4721A82B" w:rsidR="00C850C3" w:rsidRPr="0048510D" w:rsidRDefault="00C850C3" w:rsidP="00C850C3">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 xml:space="preserve">تبيين الحقائق للزيلعين، ج5، ص154. </w:t>
      </w:r>
    </w:p>
  </w:footnote>
  <w:footnote w:id="95">
    <w:p w14:paraId="4FFC1342" w14:textId="0DBEEE7F" w:rsidR="00890CB0" w:rsidRPr="0048510D" w:rsidRDefault="00890CB0" w:rsidP="00890CB0">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القواعد، لابن رجب، القاعدة السبعون، ص131، مرجع سابق.</w:t>
      </w:r>
    </w:p>
  </w:footnote>
  <w:footnote w:id="96">
    <w:p w14:paraId="3FB4412F" w14:textId="512BDCF7" w:rsidR="00890CB0" w:rsidRPr="0048510D" w:rsidRDefault="00890CB0" w:rsidP="00890CB0">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راجع في هذا القول: بلغة السالك، لأحمد بن محمد الصاوي المالكي، مطابع مصطفى الحلبي، مصر، 1372هـ، ج4، ص22، وراجع: إعانة الطالبين، للسيد البكري، ج3، ص164.</w:t>
      </w:r>
    </w:p>
  </w:footnote>
  <w:footnote w:id="97">
    <w:p w14:paraId="4435F06B" w14:textId="36380CE5" w:rsidR="00890CB0" w:rsidRPr="0048510D" w:rsidRDefault="00890CB0" w:rsidP="00890CB0">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سنن الترمذي (الجامع الصغير) ، لأبي عيسى محمد بن عيسى بن سَوْرة، تحقيق/ إبراهيم عطوه عوض، مطابع مصطفى الحلبي، مصر، ط2، 1975، ج5، ص627، حديث رقم 3703.</w:t>
      </w:r>
    </w:p>
  </w:footnote>
  <w:footnote w:id="98">
    <w:p w14:paraId="7D559475" w14:textId="2609809C" w:rsidR="00890CB0" w:rsidRPr="0048510D" w:rsidRDefault="00890CB0" w:rsidP="00890CB0">
      <w:pPr>
        <w:pStyle w:val="FootnoteText"/>
        <w:rPr>
          <w:lang w:bidi="ar-EG"/>
        </w:rPr>
      </w:pPr>
      <w:r w:rsidRPr="0046333C">
        <w:rPr>
          <w:rFonts w:hint="cs"/>
          <w:vertAlign w:val="superscript"/>
          <w:rtl/>
        </w:rPr>
        <w:t>(</w:t>
      </w:r>
      <w:r w:rsidRPr="0046333C">
        <w:rPr>
          <w:rStyle w:val="FootnoteReference"/>
        </w:rPr>
        <w:footnoteRef/>
      </w:r>
      <w:r w:rsidRPr="0046333C">
        <w:rPr>
          <w:rFonts w:hint="cs"/>
          <w:vertAlign w:val="superscript"/>
          <w:rtl/>
        </w:rPr>
        <w:t>)</w:t>
      </w:r>
      <w:r w:rsidRPr="0046333C">
        <w:rPr>
          <w:vertAlign w:val="superscript"/>
          <w:rtl/>
        </w:rPr>
        <w:tab/>
      </w:r>
      <w:r>
        <w:rPr>
          <w:rFonts w:hint="cs"/>
          <w:rtl/>
        </w:rPr>
        <w:t>فتح الباري بشرح صحيح البخاري، لابن حجر العسقلاني، الدار العالمية للنشر، بالقاهرة، ط2، 2015، مجلد 7، ص24، باب إذا وقف أرضًا أو بئرًا واشترط لنفسه مثل دلاء المسلمين، حديث رقم 2778.</w:t>
      </w:r>
    </w:p>
  </w:footnote>
  <w:footnote w:id="99">
    <w:p w14:paraId="3D7977EC" w14:textId="66C68EF6" w:rsidR="00DB4ECF" w:rsidRPr="00620F69" w:rsidRDefault="00DB4ECF" w:rsidP="00DB4ECF">
      <w:pPr>
        <w:pStyle w:val="FootnoteText"/>
        <w:rPr>
          <w:highlight w:val="yellow"/>
          <w:lang w:bidi="ar-EG"/>
        </w:rPr>
      </w:pPr>
      <w:r w:rsidRPr="00620F69">
        <w:rPr>
          <w:rFonts w:hint="cs"/>
          <w:highlight w:val="yellow"/>
          <w:vertAlign w:val="superscript"/>
          <w:rtl/>
        </w:rPr>
        <w:t>(</w:t>
      </w:r>
      <w:r w:rsidRPr="00620F69">
        <w:rPr>
          <w:rStyle w:val="FootnoteReference"/>
          <w:highlight w:val="yellow"/>
        </w:rPr>
        <w:footnoteRef/>
      </w:r>
      <w:r w:rsidRPr="00620F69">
        <w:rPr>
          <w:rFonts w:hint="cs"/>
          <w:highlight w:val="yellow"/>
          <w:vertAlign w:val="superscript"/>
          <w:rtl/>
        </w:rPr>
        <w:t>)</w:t>
      </w:r>
      <w:r w:rsidRPr="00620F69">
        <w:rPr>
          <w:highlight w:val="yellow"/>
          <w:vertAlign w:val="superscript"/>
          <w:rtl/>
        </w:rPr>
        <w:tab/>
      </w:r>
      <w:r w:rsidRPr="00620F69">
        <w:rPr>
          <w:rFonts w:hint="cs"/>
          <w:highlight w:val="yellow"/>
          <w:rtl/>
        </w:rPr>
        <w:t>المرجع السابق، ص18.</w:t>
      </w:r>
    </w:p>
  </w:footnote>
  <w:footnote w:id="100">
    <w:p w14:paraId="4EA0A866" w14:textId="5B3C8E90" w:rsidR="00DB4ECF" w:rsidRPr="0048510D" w:rsidRDefault="00DB4ECF" w:rsidP="00DB4ECF">
      <w:pPr>
        <w:pStyle w:val="FootnoteText"/>
        <w:rPr>
          <w:lang w:bidi="ar-EG"/>
        </w:rPr>
      </w:pPr>
      <w:r w:rsidRPr="00620F69">
        <w:rPr>
          <w:rFonts w:hint="cs"/>
          <w:highlight w:val="yellow"/>
          <w:vertAlign w:val="superscript"/>
          <w:rtl/>
        </w:rPr>
        <w:t>(</w:t>
      </w:r>
      <w:r w:rsidRPr="00620F69">
        <w:rPr>
          <w:rStyle w:val="FootnoteReference"/>
          <w:highlight w:val="yellow"/>
        </w:rPr>
        <w:footnoteRef/>
      </w:r>
      <w:r w:rsidRPr="00620F69">
        <w:rPr>
          <w:rFonts w:hint="cs"/>
          <w:highlight w:val="yellow"/>
          <w:vertAlign w:val="superscript"/>
          <w:rtl/>
        </w:rPr>
        <w:t>)</w:t>
      </w:r>
      <w:r w:rsidRPr="00620F69">
        <w:rPr>
          <w:highlight w:val="yellow"/>
          <w:vertAlign w:val="superscript"/>
          <w:rtl/>
        </w:rPr>
        <w:tab/>
      </w:r>
      <w:r w:rsidRPr="00620F69">
        <w:rPr>
          <w:rFonts w:hint="cs"/>
          <w:highlight w:val="yellow"/>
          <w:rtl/>
        </w:rPr>
        <w:t>نفس المرجع، ص23.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D1A5" w14:textId="77777777" w:rsidR="00456E65" w:rsidRDefault="00456E65" w:rsidP="00456E6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3E2F12"/>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00EE6B17"/>
    <w:multiLevelType w:val="hybridMultilevel"/>
    <w:tmpl w:val="9FD8B9AE"/>
    <w:lvl w:ilvl="0" w:tplc="CC78969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1C45D07"/>
    <w:multiLevelType w:val="hybridMultilevel"/>
    <w:tmpl w:val="07DAAB92"/>
    <w:lvl w:ilvl="0" w:tplc="78862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7B3D41"/>
    <w:multiLevelType w:val="hybridMultilevel"/>
    <w:tmpl w:val="8BB65050"/>
    <w:lvl w:ilvl="0" w:tplc="46CC8E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C734A35"/>
    <w:multiLevelType w:val="hybridMultilevel"/>
    <w:tmpl w:val="D8EA4004"/>
    <w:lvl w:ilvl="0" w:tplc="C6AA10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671053"/>
    <w:multiLevelType w:val="hybridMultilevel"/>
    <w:tmpl w:val="F41A305C"/>
    <w:lvl w:ilvl="0" w:tplc="3D2066E4">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76984"/>
    <w:multiLevelType w:val="hybridMultilevel"/>
    <w:tmpl w:val="A3FA1F2A"/>
    <w:lvl w:ilvl="0" w:tplc="C9987B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7C648D"/>
    <w:multiLevelType w:val="hybridMultilevel"/>
    <w:tmpl w:val="C25CF48A"/>
    <w:lvl w:ilvl="0" w:tplc="B4BC44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C9548A7"/>
    <w:multiLevelType w:val="hybridMultilevel"/>
    <w:tmpl w:val="5516BF32"/>
    <w:lvl w:ilvl="0" w:tplc="F4D2B7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DB32404"/>
    <w:multiLevelType w:val="hybridMultilevel"/>
    <w:tmpl w:val="C520005C"/>
    <w:lvl w:ilvl="0" w:tplc="DD8E3B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E817BD9"/>
    <w:multiLevelType w:val="hybridMultilevel"/>
    <w:tmpl w:val="C15A261E"/>
    <w:lvl w:ilvl="0" w:tplc="845C46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7E23684"/>
    <w:multiLevelType w:val="hybridMultilevel"/>
    <w:tmpl w:val="CEFC3916"/>
    <w:lvl w:ilvl="0" w:tplc="32D0AA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3B7343"/>
    <w:multiLevelType w:val="hybridMultilevel"/>
    <w:tmpl w:val="06FC6C7E"/>
    <w:lvl w:ilvl="0" w:tplc="45D42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133AA"/>
    <w:multiLevelType w:val="hybridMultilevel"/>
    <w:tmpl w:val="29E45EAC"/>
    <w:lvl w:ilvl="0" w:tplc="DD580B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C8135C"/>
    <w:multiLevelType w:val="hybridMultilevel"/>
    <w:tmpl w:val="5BEA8E74"/>
    <w:lvl w:ilvl="0" w:tplc="5BEA76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F30404"/>
    <w:multiLevelType w:val="hybridMultilevel"/>
    <w:tmpl w:val="DE8A0D10"/>
    <w:lvl w:ilvl="0" w:tplc="9BF22E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2EC4AB6"/>
    <w:multiLevelType w:val="hybridMultilevel"/>
    <w:tmpl w:val="EB36F938"/>
    <w:lvl w:ilvl="0" w:tplc="327E86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65B71F8"/>
    <w:multiLevelType w:val="hybridMultilevel"/>
    <w:tmpl w:val="7DD263D0"/>
    <w:lvl w:ilvl="0" w:tplc="4E28E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3F023F"/>
    <w:multiLevelType w:val="hybridMultilevel"/>
    <w:tmpl w:val="B78639A4"/>
    <w:lvl w:ilvl="0" w:tplc="59B25A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01403B2"/>
    <w:multiLevelType w:val="hybridMultilevel"/>
    <w:tmpl w:val="CCEAABE2"/>
    <w:lvl w:ilvl="0" w:tplc="467C9A8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90E0E"/>
    <w:multiLevelType w:val="hybridMultilevel"/>
    <w:tmpl w:val="E59AEAF8"/>
    <w:lvl w:ilvl="0" w:tplc="2938CD4C">
      <w:start w:val="1"/>
      <w:numFmt w:val="arabicAbjad"/>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3182AC5"/>
    <w:multiLevelType w:val="hybridMultilevel"/>
    <w:tmpl w:val="84DEC8E0"/>
    <w:lvl w:ilvl="0" w:tplc="336C3D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60C0621"/>
    <w:multiLevelType w:val="hybridMultilevel"/>
    <w:tmpl w:val="A08A4184"/>
    <w:lvl w:ilvl="0" w:tplc="2938CD4C">
      <w:start w:val="1"/>
      <w:numFmt w:val="arabicAbjad"/>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61E26D3"/>
    <w:multiLevelType w:val="hybridMultilevel"/>
    <w:tmpl w:val="3DB6DDCC"/>
    <w:lvl w:ilvl="0" w:tplc="1D582F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7D7598B"/>
    <w:multiLevelType w:val="hybridMultilevel"/>
    <w:tmpl w:val="040446CE"/>
    <w:lvl w:ilvl="0" w:tplc="5F3C05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D0E5AAB"/>
    <w:multiLevelType w:val="hybridMultilevel"/>
    <w:tmpl w:val="368CE29C"/>
    <w:lvl w:ilvl="0" w:tplc="2938CD4C">
      <w:start w:val="1"/>
      <w:numFmt w:val="arabicAbjad"/>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1A8585B"/>
    <w:multiLevelType w:val="hybridMultilevel"/>
    <w:tmpl w:val="B6FA4CD4"/>
    <w:lvl w:ilvl="0" w:tplc="33CA35C8">
      <w:start w:val="1"/>
      <w:numFmt w:val="decimal"/>
      <w:pStyle w:val="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D3224E"/>
    <w:multiLevelType w:val="hybridMultilevel"/>
    <w:tmpl w:val="F24AB7DC"/>
    <w:lvl w:ilvl="0" w:tplc="4484009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5E50B7A"/>
    <w:multiLevelType w:val="hybridMultilevel"/>
    <w:tmpl w:val="94B8D796"/>
    <w:lvl w:ilvl="0" w:tplc="DFA42C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E232F5B"/>
    <w:multiLevelType w:val="hybridMultilevel"/>
    <w:tmpl w:val="C264FC14"/>
    <w:lvl w:ilvl="0" w:tplc="2938CD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1C2E22"/>
    <w:multiLevelType w:val="hybridMultilevel"/>
    <w:tmpl w:val="3D44C8BC"/>
    <w:lvl w:ilvl="0" w:tplc="53F2F5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A4D680D"/>
    <w:multiLevelType w:val="hybridMultilevel"/>
    <w:tmpl w:val="03227354"/>
    <w:lvl w:ilvl="0" w:tplc="6D7815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A6619FD"/>
    <w:multiLevelType w:val="hybridMultilevel"/>
    <w:tmpl w:val="6C3A774A"/>
    <w:lvl w:ilvl="0" w:tplc="D74C2D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D14047"/>
    <w:multiLevelType w:val="hybridMultilevel"/>
    <w:tmpl w:val="D3B68922"/>
    <w:lvl w:ilvl="0" w:tplc="62E0AE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500413A"/>
    <w:multiLevelType w:val="hybridMultilevel"/>
    <w:tmpl w:val="A27CEA4C"/>
    <w:lvl w:ilvl="0" w:tplc="04849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6450DE2"/>
    <w:multiLevelType w:val="hybridMultilevel"/>
    <w:tmpl w:val="5E12417C"/>
    <w:lvl w:ilvl="0" w:tplc="84F2C4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7CA465B"/>
    <w:multiLevelType w:val="hybridMultilevel"/>
    <w:tmpl w:val="F3C8F1A6"/>
    <w:lvl w:ilvl="0" w:tplc="66AC59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C052A89"/>
    <w:multiLevelType w:val="hybridMultilevel"/>
    <w:tmpl w:val="F15CEDD6"/>
    <w:lvl w:ilvl="0" w:tplc="0F14F4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4747786">
    <w:abstractNumId w:val="5"/>
  </w:num>
  <w:num w:numId="2" w16cid:durableId="1661762696">
    <w:abstractNumId w:val="26"/>
  </w:num>
  <w:num w:numId="3" w16cid:durableId="151992194">
    <w:abstractNumId w:val="0"/>
  </w:num>
  <w:num w:numId="4" w16cid:durableId="2099709070">
    <w:abstractNumId w:val="9"/>
  </w:num>
  <w:num w:numId="5" w16cid:durableId="299309362">
    <w:abstractNumId w:val="10"/>
  </w:num>
  <w:num w:numId="6" w16cid:durableId="1748644975">
    <w:abstractNumId w:val="31"/>
  </w:num>
  <w:num w:numId="7" w16cid:durableId="1860584696">
    <w:abstractNumId w:val="3"/>
  </w:num>
  <w:num w:numId="8" w16cid:durableId="877208925">
    <w:abstractNumId w:val="30"/>
  </w:num>
  <w:num w:numId="9" w16cid:durableId="1713573392">
    <w:abstractNumId w:val="14"/>
  </w:num>
  <w:num w:numId="10" w16cid:durableId="1170825799">
    <w:abstractNumId w:val="37"/>
  </w:num>
  <w:num w:numId="11" w16cid:durableId="2088459600">
    <w:abstractNumId w:val="21"/>
  </w:num>
  <w:num w:numId="12" w16cid:durableId="706831328">
    <w:abstractNumId w:val="35"/>
  </w:num>
  <w:num w:numId="13" w16cid:durableId="349724170">
    <w:abstractNumId w:val="6"/>
  </w:num>
  <w:num w:numId="14" w16cid:durableId="1941183068">
    <w:abstractNumId w:val="29"/>
  </w:num>
  <w:num w:numId="15" w16cid:durableId="113332430">
    <w:abstractNumId w:val="24"/>
  </w:num>
  <w:num w:numId="16" w16cid:durableId="2070684084">
    <w:abstractNumId w:val="2"/>
  </w:num>
  <w:num w:numId="17" w16cid:durableId="1114792281">
    <w:abstractNumId w:val="7"/>
  </w:num>
  <w:num w:numId="18" w16cid:durableId="1447849100">
    <w:abstractNumId w:val="34"/>
  </w:num>
  <w:num w:numId="19" w16cid:durableId="1536239149">
    <w:abstractNumId w:val="15"/>
  </w:num>
  <w:num w:numId="20" w16cid:durableId="264577702">
    <w:abstractNumId w:val="8"/>
  </w:num>
  <w:num w:numId="21" w16cid:durableId="266038052">
    <w:abstractNumId w:val="23"/>
  </w:num>
  <w:num w:numId="22" w16cid:durableId="922374688">
    <w:abstractNumId w:val="1"/>
  </w:num>
  <w:num w:numId="23" w16cid:durableId="435951186">
    <w:abstractNumId w:val="13"/>
  </w:num>
  <w:num w:numId="24" w16cid:durableId="1822767581">
    <w:abstractNumId w:val="19"/>
  </w:num>
  <w:num w:numId="25" w16cid:durableId="909271172">
    <w:abstractNumId w:val="25"/>
  </w:num>
  <w:num w:numId="26" w16cid:durableId="2007659438">
    <w:abstractNumId w:val="27"/>
  </w:num>
  <w:num w:numId="27" w16cid:durableId="1527519060">
    <w:abstractNumId w:val="17"/>
  </w:num>
  <w:num w:numId="28" w16cid:durableId="1804694149">
    <w:abstractNumId w:val="16"/>
  </w:num>
  <w:num w:numId="29" w16cid:durableId="1902129731">
    <w:abstractNumId w:val="32"/>
  </w:num>
  <w:num w:numId="30" w16cid:durableId="1868978657">
    <w:abstractNumId w:val="4"/>
  </w:num>
  <w:num w:numId="31" w16cid:durableId="1274675692">
    <w:abstractNumId w:val="28"/>
  </w:num>
  <w:num w:numId="32" w16cid:durableId="469590270">
    <w:abstractNumId w:val="22"/>
  </w:num>
  <w:num w:numId="33" w16cid:durableId="1055735145">
    <w:abstractNumId w:val="36"/>
  </w:num>
  <w:num w:numId="34" w16cid:durableId="894663675">
    <w:abstractNumId w:val="33"/>
  </w:num>
  <w:num w:numId="35" w16cid:durableId="1137067467">
    <w:abstractNumId w:val="18"/>
  </w:num>
  <w:num w:numId="36" w16cid:durableId="818307330">
    <w:abstractNumId w:val="20"/>
  </w:num>
  <w:num w:numId="37" w16cid:durableId="1064986784">
    <w:abstractNumId w:val="11"/>
  </w:num>
  <w:num w:numId="38" w16cid:durableId="188208916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16B"/>
    <w:rsid w:val="00003619"/>
    <w:rsid w:val="00004148"/>
    <w:rsid w:val="00011D31"/>
    <w:rsid w:val="00012415"/>
    <w:rsid w:val="000141CF"/>
    <w:rsid w:val="000167E6"/>
    <w:rsid w:val="00021B28"/>
    <w:rsid w:val="00030CA3"/>
    <w:rsid w:val="0003148E"/>
    <w:rsid w:val="000315A7"/>
    <w:rsid w:val="00032124"/>
    <w:rsid w:val="00034173"/>
    <w:rsid w:val="00034BF7"/>
    <w:rsid w:val="0004320B"/>
    <w:rsid w:val="000513B7"/>
    <w:rsid w:val="0005203B"/>
    <w:rsid w:val="00057C62"/>
    <w:rsid w:val="000651CC"/>
    <w:rsid w:val="00066D67"/>
    <w:rsid w:val="0007616B"/>
    <w:rsid w:val="00084432"/>
    <w:rsid w:val="00085D06"/>
    <w:rsid w:val="00092686"/>
    <w:rsid w:val="00093F04"/>
    <w:rsid w:val="00095C01"/>
    <w:rsid w:val="000B5162"/>
    <w:rsid w:val="000C40BF"/>
    <w:rsid w:val="000D1426"/>
    <w:rsid w:val="000D2689"/>
    <w:rsid w:val="000D44E2"/>
    <w:rsid w:val="000D72EC"/>
    <w:rsid w:val="000D7B83"/>
    <w:rsid w:val="000D7CC5"/>
    <w:rsid w:val="000E0A96"/>
    <w:rsid w:val="000E1469"/>
    <w:rsid w:val="000E3775"/>
    <w:rsid w:val="000F0668"/>
    <w:rsid w:val="000F2411"/>
    <w:rsid w:val="000F4BD4"/>
    <w:rsid w:val="000F5F54"/>
    <w:rsid w:val="000F603F"/>
    <w:rsid w:val="000F650A"/>
    <w:rsid w:val="000F68F5"/>
    <w:rsid w:val="000F6FEC"/>
    <w:rsid w:val="00103E93"/>
    <w:rsid w:val="00107A89"/>
    <w:rsid w:val="00117D06"/>
    <w:rsid w:val="001245BE"/>
    <w:rsid w:val="00131AAD"/>
    <w:rsid w:val="00133246"/>
    <w:rsid w:val="001332C2"/>
    <w:rsid w:val="00133A3F"/>
    <w:rsid w:val="00134C25"/>
    <w:rsid w:val="00136F12"/>
    <w:rsid w:val="001371D2"/>
    <w:rsid w:val="001461C7"/>
    <w:rsid w:val="001475D5"/>
    <w:rsid w:val="00151BFD"/>
    <w:rsid w:val="0016071D"/>
    <w:rsid w:val="00161547"/>
    <w:rsid w:val="001647A4"/>
    <w:rsid w:val="00165655"/>
    <w:rsid w:val="00166988"/>
    <w:rsid w:val="00177398"/>
    <w:rsid w:val="001851F5"/>
    <w:rsid w:val="00193070"/>
    <w:rsid w:val="001A0A1B"/>
    <w:rsid w:val="001A7464"/>
    <w:rsid w:val="001B477B"/>
    <w:rsid w:val="001B5600"/>
    <w:rsid w:val="001B7F9E"/>
    <w:rsid w:val="001C2799"/>
    <w:rsid w:val="001C7A5B"/>
    <w:rsid w:val="001D41A2"/>
    <w:rsid w:val="001D540B"/>
    <w:rsid w:val="001D5417"/>
    <w:rsid w:val="001D7031"/>
    <w:rsid w:val="001E069B"/>
    <w:rsid w:val="001E1969"/>
    <w:rsid w:val="001E1C5B"/>
    <w:rsid w:val="001E2225"/>
    <w:rsid w:val="001E6DDF"/>
    <w:rsid w:val="001E7BB4"/>
    <w:rsid w:val="001F0419"/>
    <w:rsid w:val="001F6110"/>
    <w:rsid w:val="00202464"/>
    <w:rsid w:val="00202A53"/>
    <w:rsid w:val="002376F9"/>
    <w:rsid w:val="002439E5"/>
    <w:rsid w:val="00246E40"/>
    <w:rsid w:val="0025084F"/>
    <w:rsid w:val="002558D9"/>
    <w:rsid w:val="0025637B"/>
    <w:rsid w:val="00263522"/>
    <w:rsid w:val="00263F75"/>
    <w:rsid w:val="00265717"/>
    <w:rsid w:val="00267E33"/>
    <w:rsid w:val="002731FC"/>
    <w:rsid w:val="002760EA"/>
    <w:rsid w:val="00287732"/>
    <w:rsid w:val="00292F01"/>
    <w:rsid w:val="002936EC"/>
    <w:rsid w:val="00293C92"/>
    <w:rsid w:val="00297D09"/>
    <w:rsid w:val="002B05A7"/>
    <w:rsid w:val="002B2ECD"/>
    <w:rsid w:val="002B437B"/>
    <w:rsid w:val="002B56A6"/>
    <w:rsid w:val="002B59C8"/>
    <w:rsid w:val="002C599E"/>
    <w:rsid w:val="002D2832"/>
    <w:rsid w:val="002D400E"/>
    <w:rsid w:val="002E02B5"/>
    <w:rsid w:val="002E1967"/>
    <w:rsid w:val="002E2C61"/>
    <w:rsid w:val="002E35CA"/>
    <w:rsid w:val="002E4E2B"/>
    <w:rsid w:val="002F4130"/>
    <w:rsid w:val="003017B5"/>
    <w:rsid w:val="00302B7C"/>
    <w:rsid w:val="00303419"/>
    <w:rsid w:val="003037BF"/>
    <w:rsid w:val="00306F68"/>
    <w:rsid w:val="00320BD9"/>
    <w:rsid w:val="00325633"/>
    <w:rsid w:val="00326881"/>
    <w:rsid w:val="00327904"/>
    <w:rsid w:val="0033069E"/>
    <w:rsid w:val="00331609"/>
    <w:rsid w:val="0033313C"/>
    <w:rsid w:val="0034137E"/>
    <w:rsid w:val="00344C72"/>
    <w:rsid w:val="0035069B"/>
    <w:rsid w:val="00351D20"/>
    <w:rsid w:val="00354BD6"/>
    <w:rsid w:val="00354EA0"/>
    <w:rsid w:val="00354FA9"/>
    <w:rsid w:val="003615A6"/>
    <w:rsid w:val="00361E01"/>
    <w:rsid w:val="00365CE9"/>
    <w:rsid w:val="0036778F"/>
    <w:rsid w:val="0037287C"/>
    <w:rsid w:val="0037382E"/>
    <w:rsid w:val="0037765F"/>
    <w:rsid w:val="0038548B"/>
    <w:rsid w:val="003A57A1"/>
    <w:rsid w:val="003A61D5"/>
    <w:rsid w:val="003A78C2"/>
    <w:rsid w:val="003B308D"/>
    <w:rsid w:val="003B30CC"/>
    <w:rsid w:val="003B5044"/>
    <w:rsid w:val="003B50B7"/>
    <w:rsid w:val="003B6944"/>
    <w:rsid w:val="003C0310"/>
    <w:rsid w:val="003C4BBB"/>
    <w:rsid w:val="003C7DD9"/>
    <w:rsid w:val="003D19B9"/>
    <w:rsid w:val="003D37EF"/>
    <w:rsid w:val="003D3ABB"/>
    <w:rsid w:val="003E3CC9"/>
    <w:rsid w:val="003F06B0"/>
    <w:rsid w:val="003F1BEA"/>
    <w:rsid w:val="004003DC"/>
    <w:rsid w:val="00406A2A"/>
    <w:rsid w:val="0041263E"/>
    <w:rsid w:val="00414C68"/>
    <w:rsid w:val="00421886"/>
    <w:rsid w:val="00424878"/>
    <w:rsid w:val="00431608"/>
    <w:rsid w:val="00434BC4"/>
    <w:rsid w:val="004376BD"/>
    <w:rsid w:val="0044035E"/>
    <w:rsid w:val="004406A4"/>
    <w:rsid w:val="00445180"/>
    <w:rsid w:val="00445741"/>
    <w:rsid w:val="004472A1"/>
    <w:rsid w:val="0045021E"/>
    <w:rsid w:val="00454193"/>
    <w:rsid w:val="0045501C"/>
    <w:rsid w:val="00456E65"/>
    <w:rsid w:val="00461323"/>
    <w:rsid w:val="0046333C"/>
    <w:rsid w:val="00464DA2"/>
    <w:rsid w:val="004674A3"/>
    <w:rsid w:val="0046762D"/>
    <w:rsid w:val="00471632"/>
    <w:rsid w:val="00472DD1"/>
    <w:rsid w:val="00480986"/>
    <w:rsid w:val="0048510D"/>
    <w:rsid w:val="00486291"/>
    <w:rsid w:val="00486BC3"/>
    <w:rsid w:val="00495328"/>
    <w:rsid w:val="004963BF"/>
    <w:rsid w:val="0049760F"/>
    <w:rsid w:val="004A1842"/>
    <w:rsid w:val="004A2277"/>
    <w:rsid w:val="004A40F4"/>
    <w:rsid w:val="004B2430"/>
    <w:rsid w:val="004B3B17"/>
    <w:rsid w:val="004C672C"/>
    <w:rsid w:val="004D1CE1"/>
    <w:rsid w:val="004D3200"/>
    <w:rsid w:val="004E49D2"/>
    <w:rsid w:val="004E7C9F"/>
    <w:rsid w:val="004F2EC1"/>
    <w:rsid w:val="004F3B60"/>
    <w:rsid w:val="004F5100"/>
    <w:rsid w:val="004F7195"/>
    <w:rsid w:val="004F7393"/>
    <w:rsid w:val="00500306"/>
    <w:rsid w:val="00503631"/>
    <w:rsid w:val="005048C5"/>
    <w:rsid w:val="00507193"/>
    <w:rsid w:val="00513A25"/>
    <w:rsid w:val="005164B5"/>
    <w:rsid w:val="00521363"/>
    <w:rsid w:val="00521D54"/>
    <w:rsid w:val="00532039"/>
    <w:rsid w:val="00532C48"/>
    <w:rsid w:val="00534996"/>
    <w:rsid w:val="005442F2"/>
    <w:rsid w:val="0054438C"/>
    <w:rsid w:val="00544BC3"/>
    <w:rsid w:val="00553BB3"/>
    <w:rsid w:val="00557F5B"/>
    <w:rsid w:val="00561829"/>
    <w:rsid w:val="005618CA"/>
    <w:rsid w:val="00563C7A"/>
    <w:rsid w:val="005712EF"/>
    <w:rsid w:val="00572AC0"/>
    <w:rsid w:val="005822FD"/>
    <w:rsid w:val="00586E14"/>
    <w:rsid w:val="00590979"/>
    <w:rsid w:val="0059143F"/>
    <w:rsid w:val="0059326F"/>
    <w:rsid w:val="00595DC3"/>
    <w:rsid w:val="00597B32"/>
    <w:rsid w:val="005A6F42"/>
    <w:rsid w:val="005B61A8"/>
    <w:rsid w:val="005B7173"/>
    <w:rsid w:val="005B7262"/>
    <w:rsid w:val="005C2A17"/>
    <w:rsid w:val="005D1CB4"/>
    <w:rsid w:val="005D3307"/>
    <w:rsid w:val="005E2470"/>
    <w:rsid w:val="005F323D"/>
    <w:rsid w:val="005F5FB2"/>
    <w:rsid w:val="005F694A"/>
    <w:rsid w:val="00611BE2"/>
    <w:rsid w:val="00611CF5"/>
    <w:rsid w:val="0061231A"/>
    <w:rsid w:val="00620817"/>
    <w:rsid w:val="00620F69"/>
    <w:rsid w:val="00622E91"/>
    <w:rsid w:val="00625BA8"/>
    <w:rsid w:val="00627A37"/>
    <w:rsid w:val="00633158"/>
    <w:rsid w:val="00636A88"/>
    <w:rsid w:val="00637665"/>
    <w:rsid w:val="006508AB"/>
    <w:rsid w:val="00656744"/>
    <w:rsid w:val="00660C62"/>
    <w:rsid w:val="00670A80"/>
    <w:rsid w:val="0067450C"/>
    <w:rsid w:val="00687B0B"/>
    <w:rsid w:val="00691C9C"/>
    <w:rsid w:val="00693DAD"/>
    <w:rsid w:val="0069542E"/>
    <w:rsid w:val="00695520"/>
    <w:rsid w:val="006A0270"/>
    <w:rsid w:val="006A0E7B"/>
    <w:rsid w:val="006A0F64"/>
    <w:rsid w:val="006A51DD"/>
    <w:rsid w:val="006A6543"/>
    <w:rsid w:val="006B16DD"/>
    <w:rsid w:val="006B5C0C"/>
    <w:rsid w:val="006C5417"/>
    <w:rsid w:val="006C5F62"/>
    <w:rsid w:val="006C67B9"/>
    <w:rsid w:val="006D0723"/>
    <w:rsid w:val="006D2027"/>
    <w:rsid w:val="006D51F6"/>
    <w:rsid w:val="006D742F"/>
    <w:rsid w:val="006E2A7D"/>
    <w:rsid w:val="006E3933"/>
    <w:rsid w:val="006F3508"/>
    <w:rsid w:val="00703511"/>
    <w:rsid w:val="007041E2"/>
    <w:rsid w:val="00706C16"/>
    <w:rsid w:val="00707710"/>
    <w:rsid w:val="00711603"/>
    <w:rsid w:val="00714178"/>
    <w:rsid w:val="00714229"/>
    <w:rsid w:val="00714E57"/>
    <w:rsid w:val="007208FF"/>
    <w:rsid w:val="0072242A"/>
    <w:rsid w:val="00724011"/>
    <w:rsid w:val="0073203A"/>
    <w:rsid w:val="00733B4C"/>
    <w:rsid w:val="0074114B"/>
    <w:rsid w:val="007413F5"/>
    <w:rsid w:val="00745223"/>
    <w:rsid w:val="00751A30"/>
    <w:rsid w:val="007538E1"/>
    <w:rsid w:val="007562AC"/>
    <w:rsid w:val="00756588"/>
    <w:rsid w:val="0075722B"/>
    <w:rsid w:val="0075783E"/>
    <w:rsid w:val="00765305"/>
    <w:rsid w:val="007661D7"/>
    <w:rsid w:val="00792A18"/>
    <w:rsid w:val="007955B9"/>
    <w:rsid w:val="00795CB1"/>
    <w:rsid w:val="00797406"/>
    <w:rsid w:val="007A13C1"/>
    <w:rsid w:val="007B412E"/>
    <w:rsid w:val="007B5B18"/>
    <w:rsid w:val="007B5EBD"/>
    <w:rsid w:val="007C5A5E"/>
    <w:rsid w:val="007D3216"/>
    <w:rsid w:val="007D3CD2"/>
    <w:rsid w:val="007E0624"/>
    <w:rsid w:val="007E1086"/>
    <w:rsid w:val="007E11AC"/>
    <w:rsid w:val="007E186D"/>
    <w:rsid w:val="007F3EF4"/>
    <w:rsid w:val="007F5299"/>
    <w:rsid w:val="007F6130"/>
    <w:rsid w:val="00807E4D"/>
    <w:rsid w:val="008163D4"/>
    <w:rsid w:val="00817252"/>
    <w:rsid w:val="008312C2"/>
    <w:rsid w:val="00834FD9"/>
    <w:rsid w:val="0083585E"/>
    <w:rsid w:val="008410BD"/>
    <w:rsid w:val="0084173A"/>
    <w:rsid w:val="00842AB6"/>
    <w:rsid w:val="00852E32"/>
    <w:rsid w:val="00853670"/>
    <w:rsid w:val="00860F69"/>
    <w:rsid w:val="0086525B"/>
    <w:rsid w:val="00870BF4"/>
    <w:rsid w:val="00871F54"/>
    <w:rsid w:val="00875E1D"/>
    <w:rsid w:val="00876949"/>
    <w:rsid w:val="00876963"/>
    <w:rsid w:val="0088102E"/>
    <w:rsid w:val="00882BC4"/>
    <w:rsid w:val="00882BF7"/>
    <w:rsid w:val="0088429D"/>
    <w:rsid w:val="00890CB0"/>
    <w:rsid w:val="00897DFC"/>
    <w:rsid w:val="008A1B57"/>
    <w:rsid w:val="008A5CDE"/>
    <w:rsid w:val="008A637C"/>
    <w:rsid w:val="008B46E9"/>
    <w:rsid w:val="008C06C1"/>
    <w:rsid w:val="008C4323"/>
    <w:rsid w:val="008D1C4E"/>
    <w:rsid w:val="008F2E00"/>
    <w:rsid w:val="00900406"/>
    <w:rsid w:val="00905034"/>
    <w:rsid w:val="0091504C"/>
    <w:rsid w:val="00922E49"/>
    <w:rsid w:val="00925550"/>
    <w:rsid w:val="0092603B"/>
    <w:rsid w:val="00931A4C"/>
    <w:rsid w:val="00932BEE"/>
    <w:rsid w:val="00934AC7"/>
    <w:rsid w:val="00937591"/>
    <w:rsid w:val="009504A0"/>
    <w:rsid w:val="00951B11"/>
    <w:rsid w:val="00954481"/>
    <w:rsid w:val="00956133"/>
    <w:rsid w:val="00957C3C"/>
    <w:rsid w:val="009615E6"/>
    <w:rsid w:val="00964554"/>
    <w:rsid w:val="009646FF"/>
    <w:rsid w:val="009647C3"/>
    <w:rsid w:val="00966F69"/>
    <w:rsid w:val="00973283"/>
    <w:rsid w:val="009768D5"/>
    <w:rsid w:val="009913F6"/>
    <w:rsid w:val="009A04F1"/>
    <w:rsid w:val="009A66A8"/>
    <w:rsid w:val="009A6BEB"/>
    <w:rsid w:val="009A7A4F"/>
    <w:rsid w:val="009B120B"/>
    <w:rsid w:val="009B43DE"/>
    <w:rsid w:val="009C2044"/>
    <w:rsid w:val="009C23E8"/>
    <w:rsid w:val="009D0823"/>
    <w:rsid w:val="009D135E"/>
    <w:rsid w:val="009D180D"/>
    <w:rsid w:val="009D4B25"/>
    <w:rsid w:val="009D5A91"/>
    <w:rsid w:val="009E4DD4"/>
    <w:rsid w:val="009E5EEE"/>
    <w:rsid w:val="009E6B1D"/>
    <w:rsid w:val="009F00BD"/>
    <w:rsid w:val="009F1BF1"/>
    <w:rsid w:val="009F351D"/>
    <w:rsid w:val="009F5BE8"/>
    <w:rsid w:val="009F5EAF"/>
    <w:rsid w:val="00A03EE7"/>
    <w:rsid w:val="00A21F60"/>
    <w:rsid w:val="00A34AA4"/>
    <w:rsid w:val="00A37ACB"/>
    <w:rsid w:val="00A407DD"/>
    <w:rsid w:val="00A430E0"/>
    <w:rsid w:val="00A465C6"/>
    <w:rsid w:val="00A501D6"/>
    <w:rsid w:val="00A53665"/>
    <w:rsid w:val="00A55EA9"/>
    <w:rsid w:val="00A620DF"/>
    <w:rsid w:val="00A6434E"/>
    <w:rsid w:val="00A64C75"/>
    <w:rsid w:val="00A67428"/>
    <w:rsid w:val="00A74E8C"/>
    <w:rsid w:val="00A75B2F"/>
    <w:rsid w:val="00A857DE"/>
    <w:rsid w:val="00A912BF"/>
    <w:rsid w:val="00A969F1"/>
    <w:rsid w:val="00A97EB0"/>
    <w:rsid w:val="00AA3FB7"/>
    <w:rsid w:val="00AA5E2A"/>
    <w:rsid w:val="00AB1701"/>
    <w:rsid w:val="00AB177B"/>
    <w:rsid w:val="00AB5C9D"/>
    <w:rsid w:val="00AC0EBA"/>
    <w:rsid w:val="00AC7263"/>
    <w:rsid w:val="00AC740F"/>
    <w:rsid w:val="00AC7C43"/>
    <w:rsid w:val="00AD5F04"/>
    <w:rsid w:val="00AF0194"/>
    <w:rsid w:val="00AF1DF3"/>
    <w:rsid w:val="00B01125"/>
    <w:rsid w:val="00B0333D"/>
    <w:rsid w:val="00B0347C"/>
    <w:rsid w:val="00B22215"/>
    <w:rsid w:val="00B24C94"/>
    <w:rsid w:val="00B276CF"/>
    <w:rsid w:val="00B27B87"/>
    <w:rsid w:val="00B30DC2"/>
    <w:rsid w:val="00B3281F"/>
    <w:rsid w:val="00B34655"/>
    <w:rsid w:val="00B35792"/>
    <w:rsid w:val="00B44A75"/>
    <w:rsid w:val="00B457C0"/>
    <w:rsid w:val="00B46259"/>
    <w:rsid w:val="00B634D3"/>
    <w:rsid w:val="00B705CC"/>
    <w:rsid w:val="00B713E8"/>
    <w:rsid w:val="00B7249A"/>
    <w:rsid w:val="00B766A5"/>
    <w:rsid w:val="00B8354A"/>
    <w:rsid w:val="00BA1A30"/>
    <w:rsid w:val="00BA2708"/>
    <w:rsid w:val="00BB4714"/>
    <w:rsid w:val="00BC0877"/>
    <w:rsid w:val="00BC1636"/>
    <w:rsid w:val="00BC474D"/>
    <w:rsid w:val="00BC60DB"/>
    <w:rsid w:val="00BC6675"/>
    <w:rsid w:val="00BD6F91"/>
    <w:rsid w:val="00BE09B2"/>
    <w:rsid w:val="00BE2D6F"/>
    <w:rsid w:val="00C0558C"/>
    <w:rsid w:val="00C07BA7"/>
    <w:rsid w:val="00C12F51"/>
    <w:rsid w:val="00C143BB"/>
    <w:rsid w:val="00C15E36"/>
    <w:rsid w:val="00C17950"/>
    <w:rsid w:val="00C208DA"/>
    <w:rsid w:val="00C31AEA"/>
    <w:rsid w:val="00C33599"/>
    <w:rsid w:val="00C338F1"/>
    <w:rsid w:val="00C33FE8"/>
    <w:rsid w:val="00C43C21"/>
    <w:rsid w:val="00C51870"/>
    <w:rsid w:val="00C5237A"/>
    <w:rsid w:val="00C60B5B"/>
    <w:rsid w:val="00C60FB4"/>
    <w:rsid w:val="00C6303F"/>
    <w:rsid w:val="00C668A5"/>
    <w:rsid w:val="00C72EF8"/>
    <w:rsid w:val="00C744A1"/>
    <w:rsid w:val="00C76704"/>
    <w:rsid w:val="00C76C1F"/>
    <w:rsid w:val="00C81A12"/>
    <w:rsid w:val="00C81DF9"/>
    <w:rsid w:val="00C84FB9"/>
    <w:rsid w:val="00C850C3"/>
    <w:rsid w:val="00C87F79"/>
    <w:rsid w:val="00CB077D"/>
    <w:rsid w:val="00CB166B"/>
    <w:rsid w:val="00CB1808"/>
    <w:rsid w:val="00CB219D"/>
    <w:rsid w:val="00CB77D7"/>
    <w:rsid w:val="00CC5539"/>
    <w:rsid w:val="00CD0633"/>
    <w:rsid w:val="00CD1797"/>
    <w:rsid w:val="00CD3B77"/>
    <w:rsid w:val="00CD3CFB"/>
    <w:rsid w:val="00CE4DC8"/>
    <w:rsid w:val="00CF0C40"/>
    <w:rsid w:val="00CF105F"/>
    <w:rsid w:val="00CF195E"/>
    <w:rsid w:val="00CF710E"/>
    <w:rsid w:val="00CF7D25"/>
    <w:rsid w:val="00D04050"/>
    <w:rsid w:val="00D05C39"/>
    <w:rsid w:val="00D10413"/>
    <w:rsid w:val="00D1086E"/>
    <w:rsid w:val="00D16F85"/>
    <w:rsid w:val="00D41983"/>
    <w:rsid w:val="00D42CC2"/>
    <w:rsid w:val="00D43604"/>
    <w:rsid w:val="00D43C1A"/>
    <w:rsid w:val="00D53CFB"/>
    <w:rsid w:val="00D54F99"/>
    <w:rsid w:val="00D57301"/>
    <w:rsid w:val="00D74729"/>
    <w:rsid w:val="00D752BE"/>
    <w:rsid w:val="00D76D65"/>
    <w:rsid w:val="00D86581"/>
    <w:rsid w:val="00D9116F"/>
    <w:rsid w:val="00D97777"/>
    <w:rsid w:val="00DA00DB"/>
    <w:rsid w:val="00DA27E3"/>
    <w:rsid w:val="00DB2346"/>
    <w:rsid w:val="00DB31CB"/>
    <w:rsid w:val="00DB4B1D"/>
    <w:rsid w:val="00DB4ECF"/>
    <w:rsid w:val="00DB5D5D"/>
    <w:rsid w:val="00DC1CAB"/>
    <w:rsid w:val="00DC479A"/>
    <w:rsid w:val="00DC562E"/>
    <w:rsid w:val="00DD1D33"/>
    <w:rsid w:val="00DD253A"/>
    <w:rsid w:val="00DD35E1"/>
    <w:rsid w:val="00DE40A2"/>
    <w:rsid w:val="00DE456B"/>
    <w:rsid w:val="00DE6CAE"/>
    <w:rsid w:val="00DF3B47"/>
    <w:rsid w:val="00DF76D5"/>
    <w:rsid w:val="00DF7DB9"/>
    <w:rsid w:val="00E11E56"/>
    <w:rsid w:val="00E12233"/>
    <w:rsid w:val="00E15496"/>
    <w:rsid w:val="00E167C3"/>
    <w:rsid w:val="00E3173F"/>
    <w:rsid w:val="00E32650"/>
    <w:rsid w:val="00E428D5"/>
    <w:rsid w:val="00E429E5"/>
    <w:rsid w:val="00E43569"/>
    <w:rsid w:val="00E43665"/>
    <w:rsid w:val="00E46798"/>
    <w:rsid w:val="00E5204F"/>
    <w:rsid w:val="00E57764"/>
    <w:rsid w:val="00E71F6D"/>
    <w:rsid w:val="00E7457F"/>
    <w:rsid w:val="00E74DC9"/>
    <w:rsid w:val="00EA1985"/>
    <w:rsid w:val="00EA6104"/>
    <w:rsid w:val="00EB65FA"/>
    <w:rsid w:val="00EC13CC"/>
    <w:rsid w:val="00EC6438"/>
    <w:rsid w:val="00EC6C26"/>
    <w:rsid w:val="00ED6E35"/>
    <w:rsid w:val="00EE0191"/>
    <w:rsid w:val="00EE0D67"/>
    <w:rsid w:val="00EF6EDF"/>
    <w:rsid w:val="00EF755D"/>
    <w:rsid w:val="00F05820"/>
    <w:rsid w:val="00F06D6C"/>
    <w:rsid w:val="00F076E4"/>
    <w:rsid w:val="00F15653"/>
    <w:rsid w:val="00F20A20"/>
    <w:rsid w:val="00F25816"/>
    <w:rsid w:val="00F2592C"/>
    <w:rsid w:val="00F30F98"/>
    <w:rsid w:val="00F3599F"/>
    <w:rsid w:val="00F5343B"/>
    <w:rsid w:val="00F5594D"/>
    <w:rsid w:val="00F564B3"/>
    <w:rsid w:val="00F66428"/>
    <w:rsid w:val="00F728FB"/>
    <w:rsid w:val="00F863B0"/>
    <w:rsid w:val="00F95752"/>
    <w:rsid w:val="00FA10CB"/>
    <w:rsid w:val="00FA4C92"/>
    <w:rsid w:val="00FB065C"/>
    <w:rsid w:val="00FB2E26"/>
    <w:rsid w:val="00FC3CB2"/>
    <w:rsid w:val="00FD1A89"/>
    <w:rsid w:val="00FD3351"/>
    <w:rsid w:val="00FD6097"/>
    <w:rsid w:val="00FE4166"/>
    <w:rsid w:val="00FE68AF"/>
    <w:rsid w:val="00FF4D2B"/>
    <w:rsid w:val="00FF54FE"/>
    <w:rsid w:val="00FF5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CECE1"/>
  <w15:docId w15:val="{09F82D0D-30C6-49E3-93A8-16C8BD2E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Theme="minorHAnsi" w:hAnsi="Simplified Arabic" w:cs="Simplified Arabic"/>
        <w:kern w:val="2"/>
        <w:sz w:val="30"/>
        <w:szCs w:val="30"/>
        <w:lang w:val="en-US" w:eastAsia="en-US" w:bidi="ar-SA"/>
        <w14:ligatures w14:val="standardContextual"/>
      </w:rPr>
    </w:rPrDefault>
    <w:pPrDefault>
      <w:pPr>
        <w:bidi/>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E3"/>
    <w:pPr>
      <w:spacing w:before="60" w:after="0" w:line="440" w:lineRule="exact"/>
      <w:ind w:firstLine="567"/>
      <w:jc w:val="lowKashida"/>
    </w:pPr>
    <w:rPr>
      <w:rFonts w:ascii="adwa-assalaf" w:eastAsia="adwa-assalaf" w:hAnsi="adwa-assalaf" w:cs="adwa-assalaf"/>
      <w:sz w:val="28"/>
      <w:szCs w:val="28"/>
    </w:rPr>
  </w:style>
  <w:style w:type="paragraph" w:styleId="Heading1">
    <w:name w:val="heading 1"/>
    <w:basedOn w:val="Normal"/>
    <w:next w:val="Normal"/>
    <w:link w:val="Heading1Char"/>
    <w:uiPriority w:val="9"/>
    <w:qFormat/>
    <w:rsid w:val="0037765F"/>
    <w:pPr>
      <w:keepNext/>
      <w:keepLines/>
      <w:spacing w:before="120"/>
      <w:ind w:firstLine="0"/>
      <w:jc w:val="center"/>
      <w:outlineLvl w:val="0"/>
    </w:pPr>
    <w:rPr>
      <w:rFonts w:ascii="SKR HEAD1" w:eastAsia="SKR HEAD1" w:hAnsi="SKR HEAD1" w:cs="SKR HEAD1"/>
      <w:sz w:val="32"/>
      <w:szCs w:val="32"/>
    </w:rPr>
  </w:style>
  <w:style w:type="paragraph" w:styleId="Heading2">
    <w:name w:val="heading 2"/>
    <w:basedOn w:val="Normal"/>
    <w:next w:val="Normal"/>
    <w:link w:val="Heading2Char"/>
    <w:uiPriority w:val="9"/>
    <w:unhideWhenUsed/>
    <w:qFormat/>
    <w:rsid w:val="0037765F"/>
    <w:pPr>
      <w:keepNext/>
      <w:keepLines/>
      <w:spacing w:before="120"/>
      <w:ind w:firstLine="0"/>
      <w:jc w:val="both"/>
      <w:outlineLvl w:val="1"/>
    </w:pPr>
    <w:rPr>
      <w:rFonts w:ascii="SKR HEAD1" w:eastAsia="SKR HEAD1" w:hAnsi="SKR HEAD1" w:cs="SKR HEAD1"/>
      <w:sz w:val="30"/>
      <w:szCs w:val="30"/>
    </w:rPr>
  </w:style>
  <w:style w:type="paragraph" w:styleId="Heading3">
    <w:name w:val="heading 3"/>
    <w:basedOn w:val="Normal"/>
    <w:next w:val="Normal"/>
    <w:link w:val="Heading3Char"/>
    <w:uiPriority w:val="9"/>
    <w:unhideWhenUsed/>
    <w:qFormat/>
    <w:rsid w:val="007D3CD2"/>
    <w:pPr>
      <w:keepNext/>
      <w:keepLines/>
      <w:spacing w:before="120"/>
      <w:ind w:firstLine="0"/>
      <w:jc w:val="both"/>
      <w:outlineLvl w:val="2"/>
    </w:pPr>
    <w:rPr>
      <w:rFonts w:ascii="Mohammad Bold Normal" w:eastAsia="Mohammad Bold Normal" w:hAnsi="Mohammad Bold Normal" w:cs="Mohammad Bold Normal"/>
    </w:rPr>
  </w:style>
  <w:style w:type="paragraph" w:styleId="Heading4">
    <w:name w:val="heading 4"/>
    <w:basedOn w:val="Normal"/>
    <w:next w:val="Normal"/>
    <w:link w:val="Heading4Char"/>
    <w:uiPriority w:val="9"/>
    <w:unhideWhenUsed/>
    <w:qFormat/>
    <w:rsid w:val="00597B32"/>
    <w:pPr>
      <w:keepNext/>
      <w:keepLines/>
      <w:spacing w:before="120"/>
      <w:ind w:firstLine="0"/>
      <w:outlineLvl w:val="3"/>
    </w:pPr>
    <w:rPr>
      <w:rFonts w:ascii="ArbHasoob Bold" w:eastAsia="ArbHasoob Bold" w:hAnsi="ArbHasoob Bold" w:cs="ArbHasoob Bold"/>
      <w:sz w:val="30"/>
      <w:szCs w:val="30"/>
      <w:u w:val="single"/>
    </w:rPr>
  </w:style>
  <w:style w:type="paragraph" w:styleId="Heading5">
    <w:name w:val="heading 5"/>
    <w:basedOn w:val="Normal"/>
    <w:next w:val="Normal"/>
    <w:link w:val="Heading5Char"/>
    <w:uiPriority w:val="9"/>
    <w:unhideWhenUsed/>
    <w:qFormat/>
    <w:rsid w:val="00246E40"/>
    <w:pPr>
      <w:keepNext/>
      <w:keepLines/>
      <w:spacing w:before="40"/>
      <w:ind w:firstLine="0"/>
      <w:outlineLvl w:val="4"/>
    </w:pPr>
    <w:rPr>
      <w:rFonts w:ascii="ArbHasoob Bold" w:eastAsia="ArbHasoob Bold" w:hAnsi="ArbHasoob Bold" w:cs="ArbHasoob Bold"/>
    </w:rPr>
  </w:style>
  <w:style w:type="paragraph" w:styleId="Heading6">
    <w:name w:val="heading 6"/>
    <w:basedOn w:val="Normal"/>
    <w:next w:val="Normal"/>
    <w:link w:val="Heading6Char"/>
    <w:uiPriority w:val="9"/>
    <w:unhideWhenUsed/>
    <w:qFormat/>
    <w:rsid w:val="00F06D6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5F"/>
    <w:rPr>
      <w:rFonts w:ascii="SKR HEAD1" w:eastAsia="SKR HEAD1" w:hAnsi="SKR HEAD1" w:cs="SKR HEAD1"/>
      <w:sz w:val="32"/>
      <w:szCs w:val="32"/>
    </w:rPr>
  </w:style>
  <w:style w:type="character" w:customStyle="1" w:styleId="Heading2Char">
    <w:name w:val="Heading 2 Char"/>
    <w:basedOn w:val="DefaultParagraphFont"/>
    <w:link w:val="Heading2"/>
    <w:uiPriority w:val="9"/>
    <w:rsid w:val="0037765F"/>
    <w:rPr>
      <w:rFonts w:ascii="SKR HEAD1" w:eastAsia="SKR HEAD1" w:hAnsi="SKR HEAD1" w:cs="SKR HEAD1"/>
    </w:rPr>
  </w:style>
  <w:style w:type="character" w:customStyle="1" w:styleId="Heading3Char">
    <w:name w:val="Heading 3 Char"/>
    <w:basedOn w:val="DefaultParagraphFont"/>
    <w:link w:val="Heading3"/>
    <w:uiPriority w:val="9"/>
    <w:rsid w:val="007D3CD2"/>
    <w:rPr>
      <w:rFonts w:ascii="Mohammad Bold Normal" w:eastAsia="Mohammad Bold Normal" w:hAnsi="Mohammad Bold Normal" w:cs="Mohammad Bold Normal"/>
      <w:sz w:val="28"/>
      <w:szCs w:val="28"/>
    </w:rPr>
  </w:style>
  <w:style w:type="character" w:customStyle="1" w:styleId="Heading4Char">
    <w:name w:val="Heading 4 Char"/>
    <w:basedOn w:val="DefaultParagraphFont"/>
    <w:link w:val="Heading4"/>
    <w:uiPriority w:val="9"/>
    <w:rsid w:val="00597B32"/>
    <w:rPr>
      <w:rFonts w:ascii="ArbHasoob Bold" w:eastAsia="ArbHasoob Bold" w:hAnsi="ArbHasoob Bold" w:cs="ArbHasoob Bold"/>
      <w:u w:val="single"/>
    </w:rPr>
  </w:style>
  <w:style w:type="paragraph" w:styleId="FootnoteText">
    <w:name w:val="footnote text"/>
    <w:basedOn w:val="Normal"/>
    <w:link w:val="FootnoteTextChar"/>
    <w:uiPriority w:val="99"/>
    <w:unhideWhenUsed/>
    <w:rsid w:val="0037765F"/>
    <w:pPr>
      <w:spacing w:line="400" w:lineRule="exact"/>
      <w:ind w:left="567" w:hanging="567"/>
    </w:pPr>
    <w:rPr>
      <w:sz w:val="24"/>
      <w:szCs w:val="24"/>
    </w:rPr>
  </w:style>
  <w:style w:type="character" w:customStyle="1" w:styleId="FootnoteTextChar">
    <w:name w:val="Footnote Text Char"/>
    <w:basedOn w:val="DefaultParagraphFont"/>
    <w:link w:val="FootnoteText"/>
    <w:uiPriority w:val="99"/>
    <w:rsid w:val="0037765F"/>
    <w:rPr>
      <w:rFonts w:ascii="adwa-assalaf" w:eastAsia="adwa-assalaf" w:hAnsi="adwa-assalaf" w:cs="adwa-assalaf"/>
      <w:sz w:val="24"/>
      <w:szCs w:val="24"/>
    </w:rPr>
  </w:style>
  <w:style w:type="paragraph" w:styleId="NoSpacing">
    <w:name w:val="No Spacing"/>
    <w:basedOn w:val="Normal"/>
    <w:uiPriority w:val="1"/>
    <w:rsid w:val="00F06D6C"/>
    <w:pPr>
      <w:ind w:firstLine="0"/>
      <w:jc w:val="center"/>
    </w:pPr>
    <w:rPr>
      <w:rFonts w:ascii="Lotus Linotype" w:eastAsia="Lotus Linotype" w:hAnsi="Lotus Linotype" w:cs="Lotus Linotype"/>
      <w:lang w:bidi="ar-EG"/>
    </w:rPr>
  </w:style>
  <w:style w:type="character" w:customStyle="1" w:styleId="Heading5Char">
    <w:name w:val="Heading 5 Char"/>
    <w:basedOn w:val="DefaultParagraphFont"/>
    <w:link w:val="Heading5"/>
    <w:uiPriority w:val="9"/>
    <w:rsid w:val="00246E40"/>
    <w:rPr>
      <w:rFonts w:ascii="ArbHasoob Bold" w:eastAsia="ArbHasoob Bold" w:hAnsi="ArbHasoob Bold" w:cs="ArbHasoob Bold"/>
      <w:sz w:val="28"/>
      <w:szCs w:val="28"/>
    </w:rPr>
  </w:style>
  <w:style w:type="character" w:styleId="Hyperlink">
    <w:name w:val="Hyperlink"/>
    <w:basedOn w:val="DefaultParagraphFont"/>
    <w:uiPriority w:val="99"/>
    <w:unhideWhenUsed/>
    <w:rsid w:val="00F06D6C"/>
    <w:rPr>
      <w:color w:val="0563C1" w:themeColor="hyperlink"/>
      <w:u w:val="single"/>
    </w:rPr>
  </w:style>
  <w:style w:type="character" w:styleId="UnresolvedMention">
    <w:name w:val="Unresolved Mention"/>
    <w:basedOn w:val="DefaultParagraphFont"/>
    <w:uiPriority w:val="99"/>
    <w:semiHidden/>
    <w:unhideWhenUsed/>
    <w:rsid w:val="00F06D6C"/>
    <w:rPr>
      <w:color w:val="605E5C"/>
      <w:shd w:val="clear" w:color="auto" w:fill="E1DFDD"/>
    </w:rPr>
  </w:style>
  <w:style w:type="character" w:customStyle="1" w:styleId="Heading6Char">
    <w:name w:val="Heading 6 Char"/>
    <w:basedOn w:val="DefaultParagraphFont"/>
    <w:link w:val="Heading6"/>
    <w:uiPriority w:val="9"/>
    <w:rsid w:val="00F06D6C"/>
    <w:rPr>
      <w:rFonts w:asciiTheme="majorHAnsi" w:eastAsiaTheme="majorEastAsia" w:hAnsiTheme="majorHAnsi" w:cstheme="majorBidi"/>
      <w:color w:val="1F3763" w:themeColor="accent1" w:themeShade="7F"/>
      <w:sz w:val="27"/>
      <w:szCs w:val="27"/>
    </w:rPr>
  </w:style>
  <w:style w:type="paragraph" w:styleId="Header">
    <w:name w:val="header"/>
    <w:basedOn w:val="Normal"/>
    <w:link w:val="HeaderChar"/>
    <w:uiPriority w:val="99"/>
    <w:unhideWhenUsed/>
    <w:rsid w:val="00456E6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56E65"/>
    <w:rPr>
      <w:rFonts w:ascii="Lotus Linotype" w:eastAsia="Lotus Linotype" w:hAnsi="Lotus Linotype" w:cs="Lotus Linotype"/>
      <w:sz w:val="27"/>
      <w:szCs w:val="27"/>
    </w:rPr>
  </w:style>
  <w:style w:type="paragraph" w:styleId="Footer">
    <w:name w:val="footer"/>
    <w:basedOn w:val="Normal"/>
    <w:link w:val="FooterChar"/>
    <w:uiPriority w:val="99"/>
    <w:unhideWhenUsed/>
    <w:rsid w:val="00456E6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56E65"/>
    <w:rPr>
      <w:rFonts w:ascii="Lotus Linotype" w:eastAsia="Lotus Linotype" w:hAnsi="Lotus Linotype" w:cs="Lotus Linotype"/>
      <w:sz w:val="27"/>
      <w:szCs w:val="27"/>
    </w:rPr>
  </w:style>
  <w:style w:type="paragraph" w:styleId="ListParagraph">
    <w:name w:val="List Paragraph"/>
    <w:basedOn w:val="Normal"/>
    <w:uiPriority w:val="34"/>
    <w:qFormat/>
    <w:rsid w:val="00456E65"/>
    <w:pPr>
      <w:numPr>
        <w:numId w:val="1"/>
      </w:numPr>
      <w:contextualSpacing/>
    </w:pPr>
    <w:rPr>
      <w:color w:val="000000" w:themeColor="text1"/>
    </w:rPr>
  </w:style>
  <w:style w:type="character" w:styleId="FootnoteReference">
    <w:name w:val="footnote reference"/>
    <w:basedOn w:val="DefaultParagraphFont"/>
    <w:uiPriority w:val="99"/>
    <w:semiHidden/>
    <w:unhideWhenUsed/>
    <w:rsid w:val="00325633"/>
    <w:rPr>
      <w:vertAlign w:val="superscript"/>
    </w:rPr>
  </w:style>
  <w:style w:type="paragraph" w:styleId="List">
    <w:name w:val="List"/>
    <w:basedOn w:val="Normal"/>
    <w:uiPriority w:val="99"/>
    <w:unhideWhenUsed/>
    <w:rsid w:val="0059143F"/>
    <w:pPr>
      <w:numPr>
        <w:numId w:val="2"/>
      </w:numPr>
      <w:ind w:left="567" w:hanging="567"/>
      <w:contextualSpacing/>
    </w:pPr>
  </w:style>
  <w:style w:type="paragraph" w:styleId="ListNumber">
    <w:name w:val="List Number"/>
    <w:basedOn w:val="Normal"/>
    <w:uiPriority w:val="99"/>
    <w:unhideWhenUsed/>
    <w:rsid w:val="0059143F"/>
    <w:pPr>
      <w:ind w:firstLine="0"/>
      <w:contextualSpacing/>
    </w:pPr>
  </w:style>
  <w:style w:type="paragraph" w:styleId="ListBullet">
    <w:name w:val="List Bullet"/>
    <w:basedOn w:val="Normal"/>
    <w:uiPriority w:val="99"/>
    <w:unhideWhenUsed/>
    <w:rsid w:val="0059143F"/>
    <w:pPr>
      <w:numPr>
        <w:numId w:val="3"/>
      </w:numPr>
      <w:ind w:left="851" w:hanging="567"/>
      <w:contextualSpacing/>
    </w:pPr>
  </w:style>
  <w:style w:type="character" w:styleId="PlaceholderText">
    <w:name w:val="Placeholder Text"/>
    <w:basedOn w:val="DefaultParagraphFont"/>
    <w:uiPriority w:val="99"/>
    <w:semiHidden/>
    <w:rsid w:val="00D86581"/>
    <w:rPr>
      <w:color w:val="808080"/>
    </w:rPr>
  </w:style>
  <w:style w:type="table" w:styleId="TableGrid">
    <w:name w:val="Table Grid"/>
    <w:basedOn w:val="TableNormal"/>
    <w:uiPriority w:val="39"/>
    <w:rsid w:val="003B30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unhideWhenUsed/>
    <w:rsid w:val="00107A89"/>
    <w:pPr>
      <w:spacing w:before="120" w:after="120"/>
      <w:jc w:val="left"/>
    </w:pPr>
    <w:rPr>
      <w:rFonts w:asciiTheme="minorHAnsi" w:hAnsiTheme="minorHAnsi" w:cstheme="minorHAnsi"/>
      <w:sz w:val="20"/>
      <w:szCs w:val="24"/>
      <w:u w:val="single"/>
    </w:rPr>
  </w:style>
  <w:style w:type="paragraph" w:styleId="TableofAuthorities">
    <w:name w:val="table of authorities"/>
    <w:basedOn w:val="Normal"/>
    <w:next w:val="Normal"/>
    <w:uiPriority w:val="99"/>
    <w:unhideWhenUsed/>
    <w:rsid w:val="00107A89"/>
    <w:pPr>
      <w:spacing w:before="0"/>
      <w:ind w:left="280" w:hanging="280"/>
      <w:jc w:val="left"/>
    </w:pPr>
    <w:rPr>
      <w:rFonts w:asciiTheme="minorHAnsi" w:hAnsiTheme="minorHAnsi" w:cstheme="minorHAnsi"/>
      <w:sz w:val="20"/>
      <w:szCs w:val="24"/>
    </w:rPr>
  </w:style>
  <w:style w:type="character" w:styleId="CommentReference">
    <w:name w:val="annotation reference"/>
    <w:basedOn w:val="DefaultParagraphFont"/>
    <w:uiPriority w:val="99"/>
    <w:semiHidden/>
    <w:unhideWhenUsed/>
    <w:rsid w:val="00084432"/>
    <w:rPr>
      <w:sz w:val="16"/>
      <w:szCs w:val="16"/>
    </w:rPr>
  </w:style>
  <w:style w:type="paragraph" w:styleId="CommentText">
    <w:name w:val="annotation text"/>
    <w:basedOn w:val="Normal"/>
    <w:link w:val="CommentTextChar"/>
    <w:uiPriority w:val="99"/>
    <w:semiHidden/>
    <w:unhideWhenUsed/>
    <w:rsid w:val="00084432"/>
    <w:pPr>
      <w:spacing w:line="240" w:lineRule="auto"/>
    </w:pPr>
    <w:rPr>
      <w:sz w:val="20"/>
      <w:szCs w:val="20"/>
    </w:rPr>
  </w:style>
  <w:style w:type="character" w:customStyle="1" w:styleId="CommentTextChar">
    <w:name w:val="Comment Text Char"/>
    <w:basedOn w:val="DefaultParagraphFont"/>
    <w:link w:val="CommentText"/>
    <w:uiPriority w:val="99"/>
    <w:semiHidden/>
    <w:rsid w:val="00084432"/>
    <w:rPr>
      <w:rFonts w:ascii="adwa-assalaf" w:eastAsia="adwa-assalaf" w:hAnsi="adwa-assalaf" w:cs="adwa-assalaf"/>
      <w:sz w:val="20"/>
      <w:szCs w:val="20"/>
    </w:rPr>
  </w:style>
  <w:style w:type="paragraph" w:styleId="CommentSubject">
    <w:name w:val="annotation subject"/>
    <w:basedOn w:val="CommentText"/>
    <w:next w:val="CommentText"/>
    <w:link w:val="CommentSubjectChar"/>
    <w:uiPriority w:val="99"/>
    <w:semiHidden/>
    <w:unhideWhenUsed/>
    <w:rsid w:val="00084432"/>
    <w:rPr>
      <w:b/>
      <w:bCs/>
    </w:rPr>
  </w:style>
  <w:style w:type="character" w:customStyle="1" w:styleId="CommentSubjectChar">
    <w:name w:val="Comment Subject Char"/>
    <w:basedOn w:val="CommentTextChar"/>
    <w:link w:val="CommentSubject"/>
    <w:uiPriority w:val="99"/>
    <w:semiHidden/>
    <w:rsid w:val="00084432"/>
    <w:rPr>
      <w:rFonts w:ascii="adwa-assalaf" w:eastAsia="adwa-assalaf" w:hAnsi="adwa-assalaf" w:cs="adwa-assalaf"/>
      <w:b/>
      <w:bCs/>
      <w:sz w:val="20"/>
      <w:szCs w:val="20"/>
    </w:rPr>
  </w:style>
  <w:style w:type="table" w:customStyle="1" w:styleId="TableGrid1">
    <w:name w:val="Table Grid1"/>
    <w:basedOn w:val="TableNormal"/>
    <w:next w:val="TableGrid"/>
    <w:uiPriority w:val="39"/>
    <w:rsid w:val="00B457C0"/>
    <w:pPr>
      <w:bidi w:val="0"/>
      <w:spacing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72902">
      <w:bodyDiv w:val="1"/>
      <w:marLeft w:val="0"/>
      <w:marRight w:val="0"/>
      <w:marTop w:val="0"/>
      <w:marBottom w:val="0"/>
      <w:divBdr>
        <w:top w:val="none" w:sz="0" w:space="0" w:color="auto"/>
        <w:left w:val="none" w:sz="0" w:space="0" w:color="auto"/>
        <w:bottom w:val="none" w:sz="0" w:space="0" w:color="auto"/>
        <w:right w:val="none" w:sz="0" w:space="0" w:color="auto"/>
      </w:divBdr>
    </w:div>
    <w:div w:id="197459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attia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_attia_sak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4E43-B313-40F1-8379-E1536429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4711</TotalTime>
  <Pages>53</Pages>
  <Words>8678</Words>
  <Characters>49466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ksjga dsjofhjd</dc:creator>
  <cp:keywords/>
  <dc:description/>
  <cp:lastModifiedBy>PC</cp:lastModifiedBy>
  <cp:revision>94</cp:revision>
  <cp:lastPrinted>2025-08-03T12:47:00Z</cp:lastPrinted>
  <dcterms:created xsi:type="dcterms:W3CDTF">2023-06-15T17:58:00Z</dcterms:created>
  <dcterms:modified xsi:type="dcterms:W3CDTF">2025-08-03T12:47:00Z</dcterms:modified>
</cp:coreProperties>
</file>